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4AB" w:rsidRPr="007A74AB" w:rsidRDefault="007A74AB" w:rsidP="007A74AB">
      <w:pPr>
        <w:pStyle w:val="Heading2"/>
        <w:pBdr>
          <w:top w:val="single" w:sz="4" w:space="1" w:color="auto"/>
          <w:left w:val="single" w:sz="4" w:space="4" w:color="auto"/>
          <w:bottom w:val="single" w:sz="4" w:space="1" w:color="auto"/>
          <w:right w:val="single" w:sz="4" w:space="4" w:color="auto"/>
        </w:pBdr>
        <w:spacing w:after="120"/>
        <w:rPr>
          <w:rFonts w:ascii="Times New Roman" w:hAnsi="Times New Roman"/>
          <w:b/>
          <w:i w:val="0"/>
          <w:color w:val="auto"/>
          <w:sz w:val="24"/>
          <w:szCs w:val="24"/>
        </w:rPr>
      </w:pPr>
      <w:r w:rsidRPr="007A74AB">
        <w:rPr>
          <w:rFonts w:ascii="Times New Roman" w:hAnsi="Times New Roman"/>
          <w:b/>
          <w:i w:val="0"/>
          <w:color w:val="auto"/>
          <w:sz w:val="24"/>
          <w:szCs w:val="24"/>
        </w:rPr>
        <w:t>Извод из текста:</w:t>
      </w:r>
    </w:p>
    <w:p w:rsidR="007A74AB" w:rsidRDefault="007A74AB" w:rsidP="007A74AB">
      <w:pPr>
        <w:pBdr>
          <w:top w:val="single" w:sz="4" w:space="1" w:color="auto"/>
          <w:left w:val="single" w:sz="4" w:space="4" w:color="auto"/>
          <w:bottom w:val="single" w:sz="4" w:space="1" w:color="auto"/>
          <w:right w:val="single" w:sz="4" w:space="4" w:color="auto"/>
        </w:pBdr>
        <w:rPr>
          <w:szCs w:val="24"/>
        </w:rPr>
      </w:pPr>
      <w:r w:rsidRPr="007A74AB">
        <w:rPr>
          <w:szCs w:val="24"/>
        </w:rPr>
        <w:t xml:space="preserve">Радуловић, Л., Станчић, М., Милин, В., Одаловић, М. (2018). Учење, подучавање и процена знања у области здравствених наука. У С.Медић и сар. (ур.) </w:t>
      </w:r>
      <w:r w:rsidRPr="007A74AB">
        <w:rPr>
          <w:i/>
          <w:szCs w:val="24"/>
        </w:rPr>
        <w:t xml:space="preserve">Настава у областти здравствених наука, </w:t>
      </w:r>
      <w:r w:rsidRPr="007A74AB">
        <w:rPr>
          <w:szCs w:val="24"/>
        </w:rPr>
        <w:t>стр. 31-60.</w:t>
      </w:r>
      <w:r w:rsidRPr="007A74AB">
        <w:rPr>
          <w:i/>
          <w:szCs w:val="24"/>
        </w:rPr>
        <w:t xml:space="preserve"> </w:t>
      </w:r>
      <w:r w:rsidRPr="007A74AB">
        <w:rPr>
          <w:szCs w:val="24"/>
        </w:rPr>
        <w:t>Београд: Универзитет у Београду.</w:t>
      </w:r>
    </w:p>
    <w:p w:rsidR="007A74AB" w:rsidRPr="007A74AB" w:rsidRDefault="007A74AB" w:rsidP="007A74AB">
      <w:pPr>
        <w:rPr>
          <w:i/>
          <w:szCs w:val="24"/>
        </w:rPr>
      </w:pPr>
    </w:p>
    <w:p w:rsidR="007A74AB" w:rsidRPr="00696ECC" w:rsidRDefault="007A74AB" w:rsidP="007A74AB">
      <w:pPr>
        <w:pStyle w:val="Heading2"/>
        <w:spacing w:after="120"/>
        <w:rPr>
          <w:b/>
          <w:i w:val="0"/>
        </w:rPr>
      </w:pPr>
      <w:r w:rsidRPr="00696ECC">
        <w:rPr>
          <w:b/>
          <w:i w:val="0"/>
        </w:rPr>
        <w:t>Евалуација (праћење и оцењивање) у настави</w:t>
      </w:r>
    </w:p>
    <w:p w:rsidR="007A74AB" w:rsidRPr="00062145" w:rsidRDefault="007A74AB" w:rsidP="007A74AB">
      <w:pPr>
        <w:spacing w:after="120"/>
        <w:ind w:firstLine="300"/>
        <w:jc w:val="left"/>
        <w:rPr>
          <w:rFonts w:ascii="Cambria" w:eastAsia="Times New Roman" w:hAnsi="Cambria" w:cs="Arial"/>
          <w:spacing w:val="2"/>
          <w:szCs w:val="24"/>
        </w:rPr>
      </w:pP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eastAsia="Times New Roman" w:hAnsi="Cambria" w:cs="Arial"/>
          <w:spacing w:val="2"/>
          <w:szCs w:val="24"/>
        </w:rPr>
        <w:t xml:space="preserve">Евалуација је једна од компоненти (интерактивне) наставе, поред њеног планирања и реализације. Она представља једну од кључних тачака наставног процеса и значајна је из више разлога. </w:t>
      </w: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eastAsia="Times New Roman" w:hAnsi="Cambria" w:cs="Arial"/>
          <w:spacing w:val="2"/>
          <w:szCs w:val="24"/>
        </w:rPr>
        <w:t xml:space="preserve">Уз помоћ евалуације проверавамо оствареност исхода учења и адекватност наставних активности. Шта ћемо и како евалуирати зависи од тога шта су исходи које желимо да постигнемо програмом и од начина на који је осмишљен процес учења и подучавања. На пример, уколико нам је исход чињенично знање студената, евалуираћемо њихово постигнуће уз помоћ тестова знања или кроз традиционално усмено испитивање студената. Међутим, ако желимо да развијамо сложеније компетенције студената (на пример да поставе дијагнозу узимајући у обзир све релевантне показатеље, или да одреде терапију, или да у реалном контексту на одговарајући начин дају савет у вези са применом лека ...) ови начини провере знања нам неће бити довољни, већ ћемо морати да примењујемо сложеније поступке. Оваква међузависност циљева и исхода учења/наставе, процеса учења и подучавања и евалуације (праћења и оцењивања у настави), у литератури се често означава као конструктивно усаглашавање, а може се приказати и графички (слика 4). </w:t>
      </w:r>
    </w:p>
    <w:p w:rsidR="007A74AB" w:rsidRPr="00062145" w:rsidRDefault="007A74AB" w:rsidP="007A74AB">
      <w:pPr>
        <w:spacing w:after="120"/>
        <w:rPr>
          <w:rFonts w:ascii="Cambria" w:eastAsia="Times New Roman" w:hAnsi="Cambria" w:cs="Arial"/>
          <w:spacing w:val="2"/>
          <w:szCs w:val="24"/>
        </w:rPr>
      </w:pPr>
    </w:p>
    <w:p w:rsidR="007A74AB" w:rsidRPr="00062145" w:rsidRDefault="007A74AB" w:rsidP="007A74AB">
      <w:pPr>
        <w:spacing w:after="120"/>
        <w:jc w:val="center"/>
        <w:rPr>
          <w:rFonts w:ascii="Cambria" w:eastAsia="Times New Roman" w:hAnsi="Cambria" w:cs="Arial"/>
          <w:spacing w:val="2"/>
          <w:szCs w:val="24"/>
        </w:rPr>
      </w:pPr>
      <w:r>
        <w:rPr>
          <w:noProof/>
        </w:rPr>
        <w:lastRenderedPageBreak/>
        <w:drawing>
          <wp:inline distT="0" distB="0" distL="0" distR="0">
            <wp:extent cx="4893310" cy="3602355"/>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893310" cy="3602355"/>
                    </a:xfrm>
                    <a:prstGeom prst="rect">
                      <a:avLst/>
                    </a:prstGeom>
                    <a:noFill/>
                    <a:ln w="9525">
                      <a:noFill/>
                      <a:miter lim="800000"/>
                      <a:headEnd/>
                      <a:tailEnd/>
                    </a:ln>
                  </pic:spPr>
                </pic:pic>
              </a:graphicData>
            </a:graphic>
          </wp:inline>
        </w:drawing>
      </w:r>
    </w:p>
    <w:p w:rsidR="007A74AB" w:rsidRPr="00062145" w:rsidRDefault="007A74AB" w:rsidP="007A74AB">
      <w:pPr>
        <w:spacing w:after="120"/>
        <w:jc w:val="center"/>
        <w:rPr>
          <w:rFonts w:ascii="Cambria" w:eastAsia="Times New Roman" w:hAnsi="Cambria" w:cs="Arial"/>
          <w:b/>
          <w:spacing w:val="2"/>
          <w:szCs w:val="24"/>
        </w:rPr>
      </w:pPr>
      <w:r w:rsidRPr="00062145">
        <w:rPr>
          <w:rFonts w:ascii="Cambria" w:eastAsia="Times New Roman" w:hAnsi="Cambria" w:cs="Arial"/>
          <w:b/>
          <w:spacing w:val="2"/>
          <w:szCs w:val="24"/>
        </w:rPr>
        <w:t>Слика 4. Конструктивно усаглашавање у настави</w:t>
      </w:r>
    </w:p>
    <w:p w:rsidR="007A74AB" w:rsidRPr="00062145" w:rsidRDefault="007A74AB" w:rsidP="007A74AB">
      <w:pPr>
        <w:spacing w:after="120"/>
        <w:jc w:val="left"/>
        <w:rPr>
          <w:rFonts w:ascii="Cambria" w:eastAsia="Times New Roman" w:hAnsi="Cambria" w:cs="Arial"/>
          <w:spacing w:val="2"/>
          <w:szCs w:val="24"/>
        </w:rPr>
      </w:pP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eastAsia="Times New Roman" w:hAnsi="Cambria" w:cs="Arial"/>
          <w:spacing w:val="2"/>
          <w:szCs w:val="24"/>
        </w:rPr>
        <w:t xml:space="preserve">Опште узев, може се рећи да евалуација има две групе функција: функције евалуације за наставу и наставника и функције за студента, процену његових постигнућа и подршку учењу. </w:t>
      </w: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eastAsia="Times New Roman" w:hAnsi="Cambria" w:cs="Arial"/>
          <w:spacing w:val="2"/>
          <w:szCs w:val="24"/>
        </w:rPr>
        <w:t xml:space="preserve">Кроз процес евалуације наставници добијају слику о томе шта су и у којој мери студенти научили/развили у току часа или одређеног временског периода, те могу даље да разматрају однос нивоа оствареног у односу на планирано и у односу на читав процес наставе и да на основу тога планирају и усмеравају даљи рад. Евалуирати се може не само оствареност предвиђених исхода, већ и сама наставна пракса, па и реалистичност постављених исхода. Настава се може евалуирати да би се прилагођавала околностима у окружењу, потребама и могућностима студената и наставника. Евалуативни подаци о настави (на пример, колико студената је ангажовано у активностима, колико их је учествовало у дискусији, каква питања су поставили, како међусобно сарађују...), се могу користити да би се боље разумео наставни процес, те на основу тога планирала настава, развијао курикулум и у складу са тим подстицао развој студената и развој компетенција наставника. </w:t>
      </w: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eastAsia="Times New Roman" w:hAnsi="Cambria" w:cs="Arial"/>
          <w:spacing w:val="2"/>
          <w:szCs w:val="24"/>
        </w:rPr>
        <w:t>Када је реч о функцијама евалуације које се односе на студенте, она им може служити да сагледају резултате свог рада, да дефинишу план даљег рада/учења, односно да освешћују своја знања и постижу контролу над сопственим учењем, као и да се заинтересују и мотивишу за учење. Више речи о функцијама евалуације за студенте и њихово учење биће у наставку, у вези са проблематиком оцењивања.</w:t>
      </w:r>
    </w:p>
    <w:p w:rsidR="007A74AB" w:rsidRPr="00062145" w:rsidRDefault="007A74AB" w:rsidP="007A74AB">
      <w:pPr>
        <w:spacing w:after="120"/>
        <w:rPr>
          <w:rFonts w:ascii="Cambria" w:eastAsia="Times New Roman" w:hAnsi="Cambria" w:cs="Arial"/>
          <w:spacing w:val="2"/>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6890"/>
      </w:tblGrid>
      <w:tr w:rsidR="007A74AB" w:rsidRPr="00062145" w:rsidTr="00F149B4">
        <w:trPr>
          <w:trHeight w:val="657"/>
        </w:trPr>
        <w:tc>
          <w:tcPr>
            <w:tcW w:w="1134" w:type="dxa"/>
            <w:tcBorders>
              <w:top w:val="double" w:sz="4" w:space="0" w:color="4472C4"/>
              <w:left w:val="nil"/>
              <w:bottom w:val="double" w:sz="4" w:space="0" w:color="4472C4"/>
              <w:right w:val="nil"/>
            </w:tcBorders>
            <w:shd w:val="clear" w:color="auto" w:fill="auto"/>
            <w:vAlign w:val="center"/>
          </w:tcPr>
          <w:p w:rsidR="007A74AB" w:rsidRPr="00062145" w:rsidRDefault="007A74AB" w:rsidP="00F149B4">
            <w:pPr>
              <w:spacing w:before="120" w:after="120"/>
              <w:jc w:val="left"/>
              <w:rPr>
                <w:rFonts w:ascii="Cambria" w:hAnsi="Cambria"/>
                <w:b/>
                <w:szCs w:val="24"/>
              </w:rPr>
            </w:pPr>
            <w:r>
              <w:rPr>
                <w:rFonts w:ascii="Cambria" w:hAnsi="Cambria"/>
                <w:b/>
                <w:noProof/>
                <w:szCs w:val="24"/>
              </w:rPr>
              <w:drawing>
                <wp:inline distT="0" distB="0" distL="0" distR="0">
                  <wp:extent cx="542925" cy="542925"/>
                  <wp:effectExtent l="19050" t="0" r="9525" b="0"/>
                  <wp:docPr id="2" name="Picture 2" descr="kisspng-exclamation-mark-pictogram-computer-icons-symbol-sketch-5ac5bfcd96f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sspng-exclamation-mark-pictogram-computer-icons-symbol-sketch-5ac5bfcd96fa78"/>
                          <pic:cNvPicPr>
                            <a:picLocks noChangeAspect="1" noChangeArrowheads="1"/>
                          </pic:cNvPicPr>
                        </pic:nvPicPr>
                        <pic:blipFill>
                          <a:blip r:embed="rId8"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tc>
        <w:tc>
          <w:tcPr>
            <w:tcW w:w="6890" w:type="dxa"/>
            <w:tcBorders>
              <w:top w:val="double" w:sz="4" w:space="0" w:color="4472C4"/>
              <w:left w:val="nil"/>
              <w:bottom w:val="double" w:sz="4" w:space="0" w:color="4472C4"/>
              <w:right w:val="nil"/>
            </w:tcBorders>
            <w:shd w:val="clear" w:color="auto" w:fill="auto"/>
          </w:tcPr>
          <w:p w:rsidR="007A74AB" w:rsidRPr="00062145" w:rsidRDefault="007A74AB" w:rsidP="00F149B4">
            <w:pPr>
              <w:spacing w:before="120" w:after="120"/>
              <w:rPr>
                <w:rFonts w:ascii="Cambria" w:hAnsi="Cambria"/>
                <w:i/>
                <w:szCs w:val="24"/>
              </w:rPr>
            </w:pPr>
            <w:r w:rsidRPr="00062145">
              <w:rPr>
                <w:rFonts w:ascii="Cambria" w:hAnsi="Cambria"/>
                <w:i/>
                <w:szCs w:val="24"/>
              </w:rPr>
              <w:t>Савремено педагошко разумевање је да евалуација представља интегрални део наставе и обухвата сагледавање, разумевање и вредновање наставног процеса и његових резултата.</w:t>
            </w:r>
          </w:p>
        </w:tc>
      </w:tr>
    </w:tbl>
    <w:p w:rsidR="007A74AB" w:rsidRPr="00062145" w:rsidRDefault="007A74AB" w:rsidP="007A74AB">
      <w:pPr>
        <w:autoSpaceDE w:val="0"/>
        <w:autoSpaceDN w:val="0"/>
        <w:adjustRightInd w:val="0"/>
        <w:spacing w:after="120"/>
        <w:rPr>
          <w:rFonts w:ascii="Cambria" w:hAnsi="Cambria" w:cs="Arial"/>
          <w:szCs w:val="24"/>
        </w:rPr>
      </w:pP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eastAsia="Times New Roman" w:hAnsi="Cambria" w:cs="Arial"/>
          <w:spacing w:val="2"/>
          <w:szCs w:val="24"/>
        </w:rPr>
        <w:t xml:space="preserve">Појам евалуације може укључивати и </w:t>
      </w:r>
      <w:r w:rsidRPr="00062145">
        <w:rPr>
          <w:rFonts w:ascii="Cambria" w:eastAsia="Times New Roman" w:hAnsi="Cambria" w:cs="Arial"/>
          <w:i/>
          <w:spacing w:val="2"/>
          <w:szCs w:val="24"/>
        </w:rPr>
        <w:t>оцењивање</w:t>
      </w:r>
      <w:r w:rsidRPr="00062145">
        <w:rPr>
          <w:rFonts w:ascii="Cambria" w:eastAsia="Times New Roman" w:hAnsi="Cambria" w:cs="Arial"/>
          <w:spacing w:val="2"/>
          <w:szCs w:val="24"/>
        </w:rPr>
        <w:t>, али је много сложенији и обухватнији јер се односи на различите врсте праћења и проучавања наставе. Када се о евалуацији у настави говори у терминима формалне евалуације рада студената, која подразумева и давање неке врсте оцене, користи се термин „оцењивање“.</w:t>
      </w:r>
    </w:p>
    <w:p w:rsidR="007A74AB" w:rsidRPr="00062145" w:rsidRDefault="007A74AB" w:rsidP="007A74AB">
      <w:pPr>
        <w:spacing w:after="120"/>
        <w:jc w:val="left"/>
        <w:rPr>
          <w:rFonts w:ascii="Cambria" w:eastAsia="Times New Roman" w:hAnsi="Cambria" w:cs="Arial"/>
          <w:spacing w:val="2"/>
          <w:szCs w:val="24"/>
          <w:highlight w:val="lightGray"/>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6890"/>
      </w:tblGrid>
      <w:tr w:rsidR="007A74AB" w:rsidRPr="00062145" w:rsidTr="00F149B4">
        <w:trPr>
          <w:trHeight w:val="1267"/>
        </w:trPr>
        <w:tc>
          <w:tcPr>
            <w:tcW w:w="1134" w:type="dxa"/>
            <w:tcBorders>
              <w:top w:val="double" w:sz="4" w:space="0" w:color="4472C4"/>
              <w:left w:val="nil"/>
              <w:bottom w:val="double" w:sz="4" w:space="0" w:color="4472C4"/>
              <w:right w:val="nil"/>
            </w:tcBorders>
            <w:shd w:val="clear" w:color="auto" w:fill="auto"/>
            <w:vAlign w:val="center"/>
          </w:tcPr>
          <w:p w:rsidR="007A74AB" w:rsidRPr="00062145" w:rsidRDefault="007A74AB" w:rsidP="00F149B4">
            <w:pPr>
              <w:spacing w:before="120" w:after="120"/>
              <w:jc w:val="left"/>
              <w:rPr>
                <w:rFonts w:ascii="Cambria" w:hAnsi="Cambria"/>
                <w:b/>
                <w:szCs w:val="24"/>
              </w:rPr>
            </w:pPr>
            <w:r>
              <w:rPr>
                <w:rFonts w:ascii="Cambria" w:hAnsi="Cambria"/>
                <w:b/>
                <w:noProof/>
                <w:szCs w:val="24"/>
              </w:rPr>
              <w:drawing>
                <wp:inline distT="0" distB="0" distL="0" distR="0">
                  <wp:extent cx="542925" cy="542925"/>
                  <wp:effectExtent l="0" t="0" r="0" b="0"/>
                  <wp:docPr id="3" name="Picture 3" descr="kisspng-computer-icons-question-mark-drawing-question-vector-5ad8cc56ca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sspng-computer-icons-question-mark-drawing-question-vector-5ad8cc56ca8531"/>
                          <pic:cNvPicPr>
                            <a:picLocks noChangeAspect="1" noChangeArrowheads="1"/>
                          </pic:cNvPicPr>
                        </pic:nvPicPr>
                        <pic:blipFill>
                          <a:blip r:embed="rId9"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tc>
        <w:tc>
          <w:tcPr>
            <w:tcW w:w="6890" w:type="dxa"/>
            <w:tcBorders>
              <w:top w:val="double" w:sz="4" w:space="0" w:color="4472C4"/>
              <w:left w:val="nil"/>
              <w:bottom w:val="double" w:sz="4" w:space="0" w:color="4472C4"/>
              <w:right w:val="nil"/>
            </w:tcBorders>
            <w:shd w:val="clear" w:color="auto" w:fill="auto"/>
          </w:tcPr>
          <w:p w:rsidR="007A74AB" w:rsidRPr="00062145" w:rsidRDefault="007A74AB" w:rsidP="00F149B4">
            <w:pPr>
              <w:spacing w:before="120" w:after="120"/>
              <w:rPr>
                <w:rFonts w:ascii="Cambria" w:hAnsi="Cambria"/>
                <w:i/>
                <w:szCs w:val="24"/>
              </w:rPr>
            </w:pPr>
            <w:r w:rsidRPr="00062145">
              <w:rPr>
                <w:rFonts w:ascii="Cambria" w:hAnsi="Cambria"/>
                <w:i/>
                <w:szCs w:val="24"/>
              </w:rPr>
              <w:t>Говорити о евалуацији на овом месту значајно је и из перспективе тога да је то део рада наставника за који се они у великом броју случајева не осећају довољно компетентно. Размислите и сами, на основу сопственог наставничког искуства да ли на неки начин користите евалуативне податке о наставном процесу и постигнућима студената и, колико вам мука задаје оцењивање студената?</w:t>
            </w:r>
          </w:p>
        </w:tc>
      </w:tr>
    </w:tbl>
    <w:p w:rsidR="007A74AB" w:rsidRPr="00062145" w:rsidRDefault="007A74AB" w:rsidP="007A74AB">
      <w:pPr>
        <w:spacing w:after="120"/>
        <w:jc w:val="left"/>
        <w:rPr>
          <w:rFonts w:ascii="Cambria" w:eastAsia="Times New Roman" w:hAnsi="Cambria" w:cs="Arial"/>
          <w:spacing w:val="2"/>
          <w:szCs w:val="24"/>
        </w:rPr>
      </w:pP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eastAsia="Times New Roman" w:hAnsi="Cambria" w:cs="Arial"/>
          <w:spacing w:val="2"/>
          <w:szCs w:val="24"/>
        </w:rPr>
        <w:t>Оцењивање је термин који најчешће асоцира на активност наставника којом додељује (најчешће нумеричку) вредност одређеном „продукту“ који је студент презентовао. Другим речима, очекује се да наставник процени тренутни ниво постигнућа кроз вредновање усмених одговора, писаних задатака или неких других резултата студентског рада. Вероватно се и на основу сопственог искуства можете сложити са тиме да је реч о веома деликатном и комплексном задатку, који има изузетан значај за студенте, наставнике и њихов међусобни однос. Сматра се да приликом сваког оцењивања наставник укључује не само своја професионална знања и вештине, него и личне карактеристике, уверења и вредности.</w:t>
      </w:r>
      <w:r w:rsidRPr="00062145">
        <w:rPr>
          <w:rStyle w:val="FootnoteReference"/>
          <w:rFonts w:ascii="Cambria" w:eastAsia="Times New Roman" w:hAnsi="Cambria" w:cs="Arial"/>
          <w:spacing w:val="2"/>
          <w:szCs w:val="24"/>
        </w:rPr>
        <w:footnoteReference w:id="2"/>
      </w:r>
      <w:r w:rsidRPr="00062145">
        <w:rPr>
          <w:rFonts w:ascii="Cambria" w:eastAsia="Times New Roman" w:hAnsi="Cambria" w:cs="Arial"/>
          <w:spacing w:val="2"/>
          <w:szCs w:val="24"/>
        </w:rPr>
        <w:t xml:space="preserve"> Односно, чак и поред свих „објективних“ мера, каквим се данас често прокламују тестови знања, наставник представља главни мерни инструмент у оцењивању. На крају – он је тај који креира или макар бира тестове. Препознавање сложености и уважавање педагошке димензије оцењивања довело је до формулисања става да је ова активност вероватно и најјаснији показатељ квалитета рада наставника, односно до мишљења да би се анализом начина оцењивања најбрже могло одредити да ли је неко добар, просечан или лош наставник.</w:t>
      </w:r>
      <w:r w:rsidRPr="00062145">
        <w:rPr>
          <w:rStyle w:val="FootnoteReference"/>
          <w:rFonts w:ascii="Cambria" w:eastAsia="Times New Roman" w:hAnsi="Cambria" w:cs="Arial"/>
          <w:spacing w:val="2"/>
          <w:szCs w:val="24"/>
        </w:rPr>
        <w:footnoteReference w:id="3"/>
      </w:r>
      <w:r w:rsidRPr="00062145">
        <w:rPr>
          <w:rFonts w:ascii="Cambria" w:eastAsia="Times New Roman" w:hAnsi="Cambria" w:cs="Arial"/>
          <w:spacing w:val="2"/>
          <w:szCs w:val="24"/>
        </w:rPr>
        <w:t xml:space="preserve"> Овај став се може препознати и у коментарима самих студената о својим професорима – мишљење о професору често уме да буде обојено оценом коју су код њега/ње добили.  С друге стране, оцењивање и оцене су данас изузетно значајне и за студенте. Феномени „јурења оцена“ и страха од испита су веома изражени у образовању генерално, а нарочито у високом образовању, што је продукт, између осталог, јаке друштвене функције оцена (њима се обезбеђује буџет, прелаз на наредну годину студија, шанса за упис на наредне нивое студије и налажење бољег посла).</w:t>
      </w:r>
    </w:p>
    <w:p w:rsidR="007A74AB" w:rsidRPr="00062145" w:rsidRDefault="007A74AB" w:rsidP="007A74AB">
      <w:pPr>
        <w:spacing w:after="120"/>
        <w:ind w:firstLine="720"/>
        <w:rPr>
          <w:rFonts w:ascii="Cambria" w:hAnsi="Cambria" w:cs="Arial"/>
          <w:spacing w:val="2"/>
          <w:szCs w:val="24"/>
        </w:rPr>
      </w:pPr>
      <w:r w:rsidRPr="00062145">
        <w:rPr>
          <w:rFonts w:ascii="Cambria" w:hAnsi="Cambria" w:cs="Arial"/>
          <w:spacing w:val="2"/>
          <w:szCs w:val="24"/>
        </w:rPr>
        <w:t xml:space="preserve">Иако је у дидактичкој литератури значај оцењивања, као једног од кључних елемената наставе, одавно препознат, јасно је да постоје многобројни проблеми у оцењивању, као и често испољавање незадовољства студената и наставника овим аспектом студирања. Уобичајену праксу оцењивања карактерише релативна ограниченост на ниже нивое знања (према Блумовој таксономији о којој је већ било речи у претходном тексту), односно на познавање и евентуално разумевање чињеница и теорија, понављање научених поступака и процедура. При том, оно што се „мери“ најчешће је заправо количина усвојеног знања. Као најчешћи начини оцењивања заступљени су писани и усмени испит који се реализују на крају наставног процеса, односно на крају семестра, премда су промене уведене кроз болоњску реформу охрабриле коришћење и других начина оцењивања, најчешће у форми предиспитних обавеза које студенти реализују током трајања семестра. Ипак, може се рећи да је оно што се назива </w:t>
      </w:r>
      <w:r w:rsidRPr="00062145">
        <w:rPr>
          <w:rFonts w:ascii="Cambria" w:hAnsi="Cambria" w:cs="Arial"/>
          <w:i/>
          <w:spacing w:val="2"/>
          <w:szCs w:val="24"/>
        </w:rPr>
        <w:t>сумативном евалуацијом/оцењивањем</w:t>
      </w:r>
      <w:r w:rsidRPr="00062145">
        <w:rPr>
          <w:rFonts w:ascii="Cambria" w:hAnsi="Cambria" w:cs="Arial"/>
          <w:spacing w:val="2"/>
          <w:szCs w:val="24"/>
        </w:rPr>
        <w:t xml:space="preserve">, и даље високо изражено у пракси и представља тековину традиционалног разумевања места и сврхе оцењивања у наставном процесу. Наиме, оцењивање према оваквом гледишту представља активност која је изолована од процеса наставе, дешава се након завршетка одређене наставне целине, семестра, курса. Такво оцењивање може да пружи податке о томе колико је студент до тада научио, те и колико смо наставом успели да остваримо предвиђене циљеве и исходе. Дакле, оцењивањем се на овај начин добија сумирана слика о постигнућу (те отуд назив „сумативно“). Велико ограничење овакве праксе оцењивања представља немогућност да се утиче на сам процес учења, односно да се подаци добијени оцењивањем користе за управљање даљим током учења. </w:t>
      </w:r>
    </w:p>
    <w:p w:rsidR="007A74AB" w:rsidRPr="00062145" w:rsidRDefault="007A74AB" w:rsidP="007A74AB">
      <w:pPr>
        <w:spacing w:after="120"/>
        <w:ind w:firstLine="720"/>
        <w:rPr>
          <w:rFonts w:ascii="Cambria" w:hAnsi="Cambria" w:cs="Arial"/>
          <w:spacing w:val="2"/>
          <w:szCs w:val="24"/>
        </w:rPr>
      </w:pPr>
      <w:r w:rsidRPr="00062145">
        <w:rPr>
          <w:rFonts w:ascii="Cambria" w:hAnsi="Cambria" w:cs="Arial"/>
          <w:spacing w:val="2"/>
          <w:szCs w:val="24"/>
        </w:rPr>
        <w:t xml:space="preserve">Оцењивање којим се настоји да се обезбеди улога оцењивања у обликовању процеса учења назива се </w:t>
      </w:r>
      <w:r w:rsidRPr="00062145">
        <w:rPr>
          <w:rFonts w:ascii="Cambria" w:hAnsi="Cambria" w:cs="Arial"/>
          <w:i/>
          <w:spacing w:val="2"/>
          <w:szCs w:val="24"/>
        </w:rPr>
        <w:t>формативним оцењивањем</w:t>
      </w:r>
      <w:r w:rsidRPr="00062145">
        <w:rPr>
          <w:rFonts w:ascii="Cambria" w:hAnsi="Cambria" w:cs="Arial"/>
          <w:spacing w:val="2"/>
          <w:szCs w:val="24"/>
        </w:rPr>
        <w:t xml:space="preserve"> и о њему ће бити речи нешто касније у тексту. Критике традиционалне праксе оцењивања и покушаји њене промене се односе на сва питања у вези са оцењивањем: шта је сврха и функција оцењивања (зашто се оцењује), шта се оцењује, ко оцењује, када се и како се оцењује. Међутим, док су критике постојеће праксе прилично усаглашене, трагања за новом, другачијом улогом оцењивања у настави, те и праксом оцењивања, крећу се у различитим правцима. У једном од праваца, данас доминантном рекло би се, настоји се да се оцењивање учини што објективнијим, а образовање што ефикаснијим и економичнијим. Овакво оцењивање одликује усмереност на проверу остварености исхода и њега врше наставници као експерти, а као најбољи начин за то истичу се тестови знања. У другом правцу, преиспитивање праксе оцењивања добија значење трагања за активном, субјекатском позицијом студента у овом процесу и настави у целини, те трагање за праведним образовањем кроз преиспитивање контекста у коме се настава и оцењивање одвијају. Сврха оцењивања из ове визуре је пре свега формативна: побољшавање наставе (развој програма предмета, развој курикулума), подршка и олакшавање учења (сваког студента) и културна продукција (а не репродукција). Овакво оцењивање подразумева континуирано праћење, партиципацију студената у процесу оцењивања, као и ослањање на различите формалне и неформалне методе и технике. </w:t>
      </w:r>
      <w:r w:rsidRPr="0013455D">
        <w:rPr>
          <w:rFonts w:ascii="Cambria" w:hAnsi="Cambria" w:cs="Arial"/>
          <w:spacing w:val="2"/>
          <w:szCs w:val="24"/>
        </w:rPr>
        <w:t xml:space="preserve">Иако је лако препознати добре стране овог приступа, његово остваривање, по свој прилици, није лак задатак, како за наставнике, тако и за студенте, о чему нам говоре и искази универзитетских наставника приказани у наставку текста. Ипак, важно је напоменути и да тежњу да оцењивање буде формативно не треба тумачити као потребу да се рад студената формално оцењује (додељивањем поена) што више пута у току семестра, кроз различите предиспитне задатке и активности. Права сврха формативног оцењивања је у помагању студентима да сами </w:t>
      </w:r>
      <w:r w:rsidRPr="0013455D">
        <w:rPr>
          <w:rFonts w:ascii="Cambria" w:hAnsi="Cambria" w:cs="Arial"/>
          <w:i/>
          <w:spacing w:val="2"/>
          <w:szCs w:val="24"/>
        </w:rPr>
        <w:t>прате процес учења</w:t>
      </w:r>
      <w:r w:rsidRPr="0013455D">
        <w:rPr>
          <w:rFonts w:ascii="Cambria" w:hAnsi="Cambria" w:cs="Arial"/>
          <w:spacing w:val="2"/>
          <w:szCs w:val="24"/>
        </w:rPr>
        <w:t xml:space="preserve"> и да вреднују резултате свог рада, што се може остваривати и кроз различите неформалне активности праћења и оцењивања у настави, о чему ће бити речи у наставку.</w:t>
      </w:r>
    </w:p>
    <w:p w:rsidR="007A74AB" w:rsidRPr="00062145" w:rsidRDefault="007A74AB" w:rsidP="007A74AB">
      <w:pPr>
        <w:spacing w:after="120"/>
        <w:ind w:firstLine="720"/>
        <w:rPr>
          <w:rFonts w:ascii="Cambria" w:hAnsi="Cambria" w:cs="Arial"/>
          <w:spacing w:val="2"/>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8"/>
        <w:gridCol w:w="6832"/>
      </w:tblGrid>
      <w:tr w:rsidR="007A74AB" w:rsidRPr="00062145" w:rsidTr="00F149B4">
        <w:trPr>
          <w:trHeight w:val="254"/>
        </w:trPr>
        <w:tc>
          <w:tcPr>
            <w:tcW w:w="1310" w:type="dxa"/>
            <w:tcBorders>
              <w:top w:val="double" w:sz="4" w:space="0" w:color="4472C4"/>
              <w:left w:val="nil"/>
              <w:bottom w:val="double" w:sz="4" w:space="0" w:color="4472C4"/>
              <w:right w:val="nil"/>
            </w:tcBorders>
            <w:shd w:val="clear" w:color="auto" w:fill="auto"/>
          </w:tcPr>
          <w:p w:rsidR="007A74AB" w:rsidRPr="00062145" w:rsidRDefault="007A74AB" w:rsidP="00F149B4">
            <w:pPr>
              <w:spacing w:before="120" w:after="120"/>
              <w:jc w:val="center"/>
              <w:rPr>
                <w:rFonts w:ascii="Cambria" w:hAnsi="Cambria"/>
                <w:b/>
                <w:szCs w:val="24"/>
              </w:rPr>
            </w:pPr>
          </w:p>
          <w:p w:rsidR="007A74AB" w:rsidRPr="00062145" w:rsidRDefault="007A74AB" w:rsidP="00F149B4">
            <w:pPr>
              <w:spacing w:before="120" w:after="120"/>
              <w:jc w:val="center"/>
              <w:rPr>
                <w:rFonts w:ascii="Cambria" w:hAnsi="Cambria"/>
                <w:b/>
                <w:szCs w:val="24"/>
              </w:rPr>
            </w:pPr>
            <w:r>
              <w:rPr>
                <w:rFonts w:ascii="Cambria" w:hAnsi="Cambria"/>
                <w:b/>
                <w:noProof/>
                <w:szCs w:val="24"/>
              </w:rPr>
              <w:drawing>
                <wp:inline distT="0" distB="0" distL="0" distR="0">
                  <wp:extent cx="693420" cy="723265"/>
                  <wp:effectExtent l="19050" t="0" r="0" b="0"/>
                  <wp:docPr id="4" name="Picture 4"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
                          <pic:cNvPicPr>
                            <a:picLocks noChangeAspect="1" noChangeArrowheads="1"/>
                          </pic:cNvPicPr>
                        </pic:nvPicPr>
                        <pic:blipFill>
                          <a:blip r:embed="rId10">
                            <a:grayscl/>
                            <a:biLevel thresh="50000"/>
                          </a:blip>
                          <a:srcRect l="14278" t="13271" r="13774" b="12430"/>
                          <a:stretch>
                            <a:fillRect/>
                          </a:stretch>
                        </pic:blipFill>
                        <pic:spPr bwMode="auto">
                          <a:xfrm>
                            <a:off x="0" y="0"/>
                            <a:ext cx="693420" cy="723265"/>
                          </a:xfrm>
                          <a:prstGeom prst="rect">
                            <a:avLst/>
                          </a:prstGeom>
                          <a:noFill/>
                          <a:ln w="9525">
                            <a:noFill/>
                            <a:miter lim="800000"/>
                            <a:headEnd/>
                            <a:tailEnd/>
                          </a:ln>
                        </pic:spPr>
                      </pic:pic>
                    </a:graphicData>
                  </a:graphic>
                </wp:inline>
              </w:drawing>
            </w:r>
          </w:p>
        </w:tc>
        <w:tc>
          <w:tcPr>
            <w:tcW w:w="6832" w:type="dxa"/>
            <w:tcBorders>
              <w:top w:val="double" w:sz="4" w:space="0" w:color="4472C4"/>
              <w:left w:val="nil"/>
              <w:bottom w:val="double" w:sz="4" w:space="0" w:color="4472C4"/>
              <w:right w:val="nil"/>
            </w:tcBorders>
            <w:shd w:val="clear" w:color="auto" w:fill="auto"/>
          </w:tcPr>
          <w:p w:rsidR="007A74AB" w:rsidRPr="00062145" w:rsidRDefault="007A74AB" w:rsidP="00F149B4">
            <w:pPr>
              <w:spacing w:before="120" w:after="120"/>
              <w:rPr>
                <w:rFonts w:ascii="Cambria" w:hAnsi="Cambria"/>
                <w:b/>
              </w:rPr>
            </w:pPr>
            <w:r w:rsidRPr="00636635">
              <w:rPr>
                <w:rFonts w:ascii="Cambria" w:hAnsi="Cambria"/>
                <w:b/>
                <w:sz w:val="22"/>
              </w:rPr>
              <w:t>Шта су рекле неке од ваших колега о могућностима формативног оцењивања у универзитетској настави:</w:t>
            </w:r>
          </w:p>
          <w:p w:rsidR="007A74AB" w:rsidRPr="00062145" w:rsidRDefault="007A74AB" w:rsidP="00F149B4">
            <w:pPr>
              <w:spacing w:after="240"/>
              <w:ind w:firstLine="420"/>
              <w:rPr>
                <w:rFonts w:ascii="Cambria" w:hAnsi="Cambria"/>
                <w:i/>
              </w:rPr>
            </w:pPr>
            <w:r w:rsidRPr="00062145">
              <w:rPr>
                <w:rFonts w:ascii="Cambria" w:hAnsi="Cambria"/>
                <w:i/>
                <w:sz w:val="22"/>
              </w:rPr>
              <w:t xml:space="preserve"> „Формативно оцењивање захтева значајно залагање наставника, али студента ставља у активну улогу и захтева континуитет у учењу и процени знања, а све усмерено ка достизању постављених исхода учења и компетентности будућих здравствених професионалаца.“ (Д. Ђ.)</w:t>
            </w:r>
          </w:p>
          <w:p w:rsidR="007A74AB" w:rsidRPr="00636635" w:rsidRDefault="007A74AB" w:rsidP="00F149B4">
            <w:pPr>
              <w:spacing w:after="240"/>
              <w:ind w:firstLine="420"/>
              <w:rPr>
                <w:rFonts w:ascii="Cambria" w:hAnsi="Cambria"/>
                <w:i/>
              </w:rPr>
            </w:pPr>
            <w:r w:rsidRPr="00062145">
              <w:rPr>
                <w:rFonts w:ascii="Cambria" w:hAnsi="Cambria"/>
                <w:i/>
                <w:sz w:val="22"/>
              </w:rPr>
              <w:t xml:space="preserve">„Овај тип оцењивања није уобичајен, иако ми се чини веома корисним и за професора и за студенте.“ </w:t>
            </w:r>
            <w:r>
              <w:rPr>
                <w:rFonts w:ascii="Cambria" w:hAnsi="Cambria"/>
                <w:i/>
                <w:sz w:val="22"/>
              </w:rPr>
              <w:t>(Ј. Р.)</w:t>
            </w:r>
          </w:p>
        </w:tc>
      </w:tr>
    </w:tbl>
    <w:p w:rsidR="007A74AB" w:rsidRPr="00062145" w:rsidRDefault="007A74AB" w:rsidP="007A74AB">
      <w:pPr>
        <w:spacing w:after="120"/>
        <w:rPr>
          <w:rFonts w:ascii="Cambria" w:hAnsi="Cambria" w:cs="Arial"/>
          <w:spacing w:val="2"/>
          <w:szCs w:val="24"/>
        </w:rPr>
      </w:pP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hAnsi="Cambria" w:cs="Arial"/>
          <w:spacing w:val="2"/>
          <w:szCs w:val="24"/>
        </w:rPr>
        <w:t xml:space="preserve">У намери да се </w:t>
      </w:r>
      <w:r w:rsidRPr="00062145">
        <w:rPr>
          <w:rFonts w:ascii="Cambria" w:eastAsia="Times New Roman" w:hAnsi="Cambria" w:cs="Arial"/>
          <w:spacing w:val="2"/>
          <w:szCs w:val="24"/>
        </w:rPr>
        <w:t xml:space="preserve">означи савремена дидактичка тежња да се као оцењивање представе и активности које су мање формалне природе (које не резултирају нужно давањем оцене), као и тежња да се поред продуката евалуира и процес учења, те да оцењивање има формативну сврху, користи се термин праћење, односно синтагма </w:t>
      </w:r>
      <w:r w:rsidRPr="00062145">
        <w:rPr>
          <w:rFonts w:ascii="Cambria" w:eastAsia="Times New Roman" w:hAnsi="Cambria" w:cs="Arial"/>
          <w:i/>
          <w:spacing w:val="2"/>
          <w:szCs w:val="24"/>
        </w:rPr>
        <w:t>праћење и оцењивање у настави</w:t>
      </w:r>
      <w:r w:rsidRPr="00062145">
        <w:rPr>
          <w:rFonts w:ascii="Cambria" w:eastAsia="Times New Roman" w:hAnsi="Cambria" w:cs="Arial"/>
          <w:spacing w:val="2"/>
          <w:szCs w:val="24"/>
        </w:rPr>
        <w:t xml:space="preserve">. </w:t>
      </w:r>
    </w:p>
    <w:p w:rsidR="007A74AB" w:rsidRPr="00062145" w:rsidRDefault="007A74AB" w:rsidP="007A74AB">
      <w:pPr>
        <w:spacing w:after="120"/>
        <w:ind w:firstLine="720"/>
        <w:rPr>
          <w:rFonts w:ascii="Cambria" w:eastAsia="Times New Roman" w:hAnsi="Cambria" w:cs="Arial"/>
          <w:spacing w:val="2"/>
          <w:szCs w:val="24"/>
        </w:rPr>
      </w:pPr>
      <w:r w:rsidRPr="00062145">
        <w:rPr>
          <w:rFonts w:ascii="Cambria" w:eastAsia="Times New Roman" w:hAnsi="Cambria" w:cs="Arial"/>
          <w:spacing w:val="2"/>
          <w:szCs w:val="24"/>
        </w:rPr>
        <w:t>Појам „праћење и оцењивање“ је продукт савремених дидактичких схватања наставе, према којима оцењивање није једнократна изолована активност која се дешава на крају процеса наставе/учења, већ представља интегрални део процеса наставе и учења који има формативну сврху. Овај појам наглашава да се оцењивање дешава у току процеса учења, те да служи обликовању, усмеравању и вођењу процеса учења, односно одлучивању шта и како студент даље да учи. Истовремено, служи и наставнику за планирање наредних наставних активности, односно одлучивање о томе шта и како планирати на следећим часовима.</w:t>
      </w:r>
    </w:p>
    <w:p w:rsidR="007A74AB" w:rsidRPr="00062145" w:rsidRDefault="007A74AB" w:rsidP="007A74AB">
      <w:pPr>
        <w:spacing w:after="120"/>
        <w:ind w:firstLine="720"/>
        <w:rPr>
          <w:rFonts w:ascii="Cambria" w:hAnsi="Cambria" w:cs="Arial"/>
          <w:spacing w:val="2"/>
          <w:szCs w:val="24"/>
        </w:rPr>
      </w:pPr>
      <w:r w:rsidRPr="00062145">
        <w:rPr>
          <w:rFonts w:ascii="Cambria" w:hAnsi="Cambria" w:cs="Arial"/>
          <w:spacing w:val="2"/>
          <w:szCs w:val="24"/>
        </w:rPr>
        <w:t>Праћење је појам који се заснива на процесности, односно континуираном напору да се стекне потпунији увид у одабрани предмет проучавања. Овде је, међутим, потребно имати у виду да се под праћењем не подразумевају само ситуације у којима наставник прикупља податке о постигнућима својих студената. Напротив, овај концепт укључује далеко шири обим и много разноврсније делатности. Осим „продуката“ рада студената у сазнајној или интелектуалној сфери, предмет праћења могу бити и показатељи напредовања у свим доменима, учешће студената у настави, али и квалитет наставе, као и у начин рада наставника. Таквим приступом се делимично депривилегује положај наставника као надређеног, доминантног актера у настави, а отвара простор за заједничко истраживање, размену и унапређивање постојеће праксе. Шта више, у том контексту се све више говори о самопраћењу и самооцењивању, те и вршњачком оцењивању студената. Нарочито је важно на овом месту нагласити значај самооцењивања студената, будући да се на тај начин обезбеђује самоспознаја, учење учења, развој метакогнитивних вештина, самопоштовања, одговорности и независности студената, али и унутрашње мотивације. Такође, кроз планирање прилика у настави за студентско самооцењивање обезбеђујемо и да студенти заузму позицију субјекта у процесу оцењивања и наставном процесу у целини.</w:t>
      </w:r>
    </w:p>
    <w:p w:rsidR="007A74AB" w:rsidRPr="00062145" w:rsidRDefault="007A74AB" w:rsidP="007A74AB">
      <w:pPr>
        <w:spacing w:after="120"/>
        <w:ind w:firstLine="720"/>
        <w:rPr>
          <w:rFonts w:ascii="Cambria" w:hAnsi="Cambria" w:cs="Arial"/>
          <w:spacing w:val="2"/>
          <w:szCs w:val="24"/>
        </w:rPr>
      </w:pPr>
      <w:r w:rsidRPr="00062145">
        <w:rPr>
          <w:rFonts w:ascii="Cambria" w:hAnsi="Cambria" w:cs="Arial"/>
          <w:spacing w:val="2"/>
          <w:szCs w:val="24"/>
        </w:rPr>
        <w:t>Праксе оцењивања које негују овакве функције и вредности се још увек сматрају алтернативним и праксама будућности будући да се за оцењивање може рећи да представља сегмент наставе који се највише опире променама. Ово је условљено бројним културно-историјским и друштвеним факторима, али и „чврстим држањем“ за традиционалне праксе које су нам познате и на које смо навикли. Стога, у наставку дајемо неке идеје за неформалне активности праћења и оцењивања у настави за које се надамо да ће вас инспирисати да их испробате у својој пракси.</w:t>
      </w:r>
    </w:p>
    <w:p w:rsidR="007A74AB" w:rsidRPr="00062145" w:rsidRDefault="007A74AB" w:rsidP="007A74AB">
      <w:pPr>
        <w:spacing w:after="120"/>
        <w:jc w:val="left"/>
        <w:rPr>
          <w:rFonts w:ascii="Cambria" w:hAnsi="Cambria" w:cs="Arial"/>
          <w:spacing w:val="2"/>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6"/>
        <w:gridCol w:w="6890"/>
      </w:tblGrid>
      <w:tr w:rsidR="007A74AB" w:rsidRPr="00062145" w:rsidTr="00F149B4">
        <w:trPr>
          <w:trHeight w:val="1267"/>
        </w:trPr>
        <w:tc>
          <w:tcPr>
            <w:tcW w:w="1134" w:type="dxa"/>
            <w:tcBorders>
              <w:top w:val="double" w:sz="4" w:space="0" w:color="4472C4"/>
              <w:left w:val="nil"/>
              <w:bottom w:val="double" w:sz="4" w:space="0" w:color="4472C4"/>
              <w:right w:val="nil"/>
            </w:tcBorders>
            <w:shd w:val="clear" w:color="auto" w:fill="auto"/>
          </w:tcPr>
          <w:p w:rsidR="007A74AB" w:rsidRPr="00062145" w:rsidRDefault="007A74AB" w:rsidP="00F149B4">
            <w:pPr>
              <w:spacing w:before="120" w:after="120"/>
              <w:jc w:val="center"/>
              <w:rPr>
                <w:rFonts w:ascii="Cambria" w:hAnsi="Cambria"/>
                <w:b/>
                <w:szCs w:val="24"/>
              </w:rPr>
            </w:pPr>
          </w:p>
          <w:p w:rsidR="007A74AB" w:rsidRPr="00062145" w:rsidRDefault="007A74AB" w:rsidP="00F149B4">
            <w:pPr>
              <w:spacing w:before="120" w:after="120"/>
              <w:jc w:val="center"/>
              <w:rPr>
                <w:rFonts w:ascii="Cambria" w:hAnsi="Cambria"/>
                <w:b/>
                <w:szCs w:val="24"/>
              </w:rPr>
            </w:pPr>
            <w:r>
              <w:rPr>
                <w:rFonts w:ascii="Cambria" w:hAnsi="Cambria"/>
                <w:b/>
                <w:noProof/>
                <w:szCs w:val="24"/>
              </w:rPr>
              <w:drawing>
                <wp:inline distT="0" distB="0" distL="0" distR="0">
                  <wp:extent cx="588010" cy="718185"/>
                  <wp:effectExtent l="19050" t="0" r="2540" b="0"/>
                  <wp:docPr id="5" name="Picture 5" descr="light-bulb-png-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ght-bulb-png-icon"/>
                          <pic:cNvPicPr>
                            <a:picLocks noChangeAspect="1" noChangeArrowheads="1"/>
                          </pic:cNvPicPr>
                        </pic:nvPicPr>
                        <pic:blipFill>
                          <a:blip r:embed="rId11" cstate="print"/>
                          <a:srcRect/>
                          <a:stretch>
                            <a:fillRect/>
                          </a:stretch>
                        </pic:blipFill>
                        <pic:spPr bwMode="auto">
                          <a:xfrm>
                            <a:off x="0" y="0"/>
                            <a:ext cx="588010" cy="718185"/>
                          </a:xfrm>
                          <a:prstGeom prst="rect">
                            <a:avLst/>
                          </a:prstGeom>
                          <a:noFill/>
                          <a:ln w="9525">
                            <a:noFill/>
                            <a:miter lim="800000"/>
                            <a:headEnd/>
                            <a:tailEnd/>
                          </a:ln>
                        </pic:spPr>
                      </pic:pic>
                    </a:graphicData>
                  </a:graphic>
                </wp:inline>
              </w:drawing>
            </w:r>
          </w:p>
        </w:tc>
        <w:tc>
          <w:tcPr>
            <w:tcW w:w="6890" w:type="dxa"/>
            <w:tcBorders>
              <w:top w:val="double" w:sz="4" w:space="0" w:color="4472C4"/>
              <w:left w:val="nil"/>
              <w:bottom w:val="double" w:sz="4" w:space="0" w:color="4472C4"/>
              <w:right w:val="nil"/>
            </w:tcBorders>
            <w:shd w:val="clear" w:color="auto" w:fill="auto"/>
          </w:tcPr>
          <w:p w:rsidR="007A74AB" w:rsidRPr="00636635" w:rsidRDefault="007A74AB" w:rsidP="00F149B4">
            <w:pPr>
              <w:spacing w:before="120" w:after="120" w:line="240" w:lineRule="auto"/>
              <w:jc w:val="left"/>
              <w:rPr>
                <w:rFonts w:ascii="Cambria" w:hAnsi="Cambria"/>
                <w:b/>
                <w:color w:val="0070C0"/>
                <w:szCs w:val="24"/>
              </w:rPr>
            </w:pPr>
            <w:r w:rsidRPr="00636635">
              <w:rPr>
                <w:rFonts w:ascii="Cambria" w:hAnsi="Cambria"/>
                <w:b/>
                <w:color w:val="0070C0"/>
                <w:szCs w:val="24"/>
              </w:rPr>
              <w:t>Студентско сумирање часа</w:t>
            </w:r>
          </w:p>
          <w:p w:rsidR="007A74AB" w:rsidRPr="00062145" w:rsidRDefault="007A74AB" w:rsidP="00F149B4">
            <w:pPr>
              <w:spacing w:before="120" w:after="120" w:line="240" w:lineRule="auto"/>
              <w:rPr>
                <w:rFonts w:ascii="Cambria" w:hAnsi="Cambria"/>
                <w:szCs w:val="24"/>
              </w:rPr>
            </w:pPr>
            <w:r w:rsidRPr="00062145">
              <w:rPr>
                <w:rFonts w:ascii="Cambria" w:hAnsi="Cambria"/>
                <w:szCs w:val="24"/>
              </w:rPr>
              <w:t>Студент има задатак да обавести студента који је пропустио прошли час (или замишљеног студента који је пропустио час), веома кратко, шта је била тема и циљ, како се то може искористити. Варијација: студент кратко информише другог студент који није био на часу путем СМС-а шта су данас радили на часу.</w:t>
            </w:r>
          </w:p>
          <w:p w:rsidR="007A74AB" w:rsidRPr="00062145" w:rsidRDefault="007A74AB" w:rsidP="00F149B4">
            <w:pPr>
              <w:spacing w:before="120" w:after="120" w:line="240" w:lineRule="auto"/>
              <w:jc w:val="left"/>
              <w:rPr>
                <w:rFonts w:ascii="Cambria" w:hAnsi="Cambria" w:cs="Arial"/>
                <w:spacing w:val="2"/>
                <w:szCs w:val="24"/>
              </w:rPr>
            </w:pPr>
          </w:p>
          <w:p w:rsidR="007A74AB" w:rsidRPr="00636635" w:rsidRDefault="007A74AB" w:rsidP="00F149B4">
            <w:pPr>
              <w:spacing w:before="120" w:after="120" w:line="240" w:lineRule="auto"/>
              <w:jc w:val="left"/>
              <w:rPr>
                <w:rFonts w:ascii="Cambria" w:hAnsi="Cambria"/>
                <w:b/>
                <w:color w:val="0070C0"/>
                <w:szCs w:val="24"/>
              </w:rPr>
            </w:pPr>
            <w:r w:rsidRPr="00636635">
              <w:rPr>
                <w:rFonts w:ascii="Cambria" w:hAnsi="Cambria"/>
                <w:b/>
                <w:color w:val="0070C0"/>
                <w:szCs w:val="24"/>
              </w:rPr>
              <w:t>ЗЖН (</w:t>
            </w:r>
            <w:r w:rsidRPr="00636635">
              <w:rPr>
                <w:rFonts w:ascii="Cambria" w:hAnsi="Cambria"/>
                <w:b/>
                <w:color w:val="0070C0"/>
                <w:szCs w:val="24"/>
                <w:u w:val="single"/>
              </w:rPr>
              <w:t>З</w:t>
            </w:r>
            <w:r w:rsidRPr="00636635">
              <w:rPr>
                <w:rFonts w:ascii="Cambria" w:hAnsi="Cambria"/>
                <w:b/>
                <w:color w:val="0070C0"/>
                <w:szCs w:val="24"/>
              </w:rPr>
              <w:t xml:space="preserve">нам, </w:t>
            </w:r>
            <w:r w:rsidRPr="00636635">
              <w:rPr>
                <w:rFonts w:ascii="Cambria" w:hAnsi="Cambria"/>
                <w:b/>
                <w:color w:val="0070C0"/>
                <w:szCs w:val="24"/>
                <w:u w:val="single"/>
              </w:rPr>
              <w:t>Ж</w:t>
            </w:r>
            <w:r w:rsidRPr="00636635">
              <w:rPr>
                <w:rFonts w:ascii="Cambria" w:hAnsi="Cambria"/>
                <w:b/>
                <w:color w:val="0070C0"/>
                <w:szCs w:val="24"/>
              </w:rPr>
              <w:t xml:space="preserve">елим да сазнам, </w:t>
            </w:r>
            <w:r w:rsidRPr="00636635">
              <w:rPr>
                <w:rFonts w:ascii="Cambria" w:hAnsi="Cambria"/>
                <w:b/>
                <w:color w:val="0070C0"/>
                <w:szCs w:val="24"/>
                <w:u w:val="single"/>
              </w:rPr>
              <w:t>Н</w:t>
            </w:r>
            <w:r w:rsidRPr="00636635">
              <w:rPr>
                <w:rFonts w:ascii="Cambria" w:hAnsi="Cambria"/>
                <w:b/>
                <w:color w:val="0070C0"/>
                <w:szCs w:val="24"/>
              </w:rPr>
              <w:t>аучио/ла сам)</w:t>
            </w:r>
          </w:p>
          <w:p w:rsidR="007A74AB" w:rsidRPr="00062145" w:rsidRDefault="007A74AB" w:rsidP="00F149B4">
            <w:pPr>
              <w:spacing w:before="120" w:after="120" w:line="240" w:lineRule="auto"/>
              <w:rPr>
                <w:rFonts w:ascii="Cambria" w:hAnsi="Cambria"/>
                <w:szCs w:val="24"/>
              </w:rPr>
            </w:pPr>
            <w:r w:rsidRPr="00062145">
              <w:rPr>
                <w:rFonts w:ascii="Cambria" w:hAnsi="Cambria"/>
                <w:szCs w:val="24"/>
              </w:rPr>
              <w:t xml:space="preserve">Можете на почетку часа или пре неке веће целине дати студентима ЗЖН табелу да попуне прве две колоне (Знам и Желим са сазнам), а потом на крају часа или целине да попуне и трећу колону (Научио/ла сам). </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2237"/>
              <w:gridCol w:w="2131"/>
            </w:tblGrid>
            <w:tr w:rsidR="007A74AB" w:rsidRPr="00062145" w:rsidTr="00F149B4">
              <w:tc>
                <w:tcPr>
                  <w:tcW w:w="1984" w:type="dxa"/>
                  <w:shd w:val="clear" w:color="auto" w:fill="auto"/>
                </w:tcPr>
                <w:p w:rsidR="007A74AB" w:rsidRPr="00062145" w:rsidRDefault="007A74AB" w:rsidP="00F149B4">
                  <w:pPr>
                    <w:spacing w:before="120" w:after="120" w:line="240" w:lineRule="auto"/>
                    <w:jc w:val="center"/>
                    <w:rPr>
                      <w:rFonts w:ascii="Cambria" w:hAnsi="Cambria"/>
                      <w:szCs w:val="24"/>
                    </w:rPr>
                  </w:pPr>
                  <w:r w:rsidRPr="00062145">
                    <w:rPr>
                      <w:rFonts w:ascii="Cambria" w:hAnsi="Cambria"/>
                      <w:szCs w:val="24"/>
                    </w:rPr>
                    <w:t>Знам</w:t>
                  </w:r>
                </w:p>
              </w:tc>
              <w:tc>
                <w:tcPr>
                  <w:tcW w:w="2237" w:type="dxa"/>
                  <w:shd w:val="clear" w:color="auto" w:fill="auto"/>
                </w:tcPr>
                <w:p w:rsidR="007A74AB" w:rsidRPr="00062145" w:rsidRDefault="007A74AB" w:rsidP="00F149B4">
                  <w:pPr>
                    <w:spacing w:before="120" w:after="120" w:line="240" w:lineRule="auto"/>
                    <w:jc w:val="center"/>
                    <w:rPr>
                      <w:rFonts w:ascii="Cambria" w:hAnsi="Cambria"/>
                      <w:szCs w:val="24"/>
                    </w:rPr>
                  </w:pPr>
                  <w:r w:rsidRPr="00062145">
                    <w:rPr>
                      <w:rFonts w:ascii="Cambria" w:hAnsi="Cambria"/>
                      <w:szCs w:val="24"/>
                    </w:rPr>
                    <w:t>Желим са сазнам</w:t>
                  </w:r>
                </w:p>
              </w:tc>
              <w:tc>
                <w:tcPr>
                  <w:tcW w:w="2131" w:type="dxa"/>
                  <w:shd w:val="clear" w:color="auto" w:fill="auto"/>
                </w:tcPr>
                <w:p w:rsidR="007A74AB" w:rsidRPr="00062145" w:rsidRDefault="007A74AB" w:rsidP="00F149B4">
                  <w:pPr>
                    <w:spacing w:before="120" w:after="120" w:line="240" w:lineRule="auto"/>
                    <w:jc w:val="center"/>
                    <w:rPr>
                      <w:rFonts w:ascii="Cambria" w:hAnsi="Cambria"/>
                      <w:szCs w:val="24"/>
                    </w:rPr>
                  </w:pPr>
                  <w:r w:rsidRPr="00062145">
                    <w:rPr>
                      <w:rFonts w:ascii="Cambria" w:hAnsi="Cambria"/>
                      <w:szCs w:val="24"/>
                    </w:rPr>
                    <w:t>Научио/ла сам</w:t>
                  </w:r>
                </w:p>
              </w:tc>
            </w:tr>
            <w:tr w:rsidR="007A74AB" w:rsidRPr="00062145" w:rsidTr="00F149B4">
              <w:tc>
                <w:tcPr>
                  <w:tcW w:w="1984" w:type="dxa"/>
                  <w:shd w:val="clear" w:color="auto" w:fill="auto"/>
                </w:tcPr>
                <w:p w:rsidR="007A74AB" w:rsidRPr="00062145" w:rsidRDefault="007A74AB" w:rsidP="00F149B4">
                  <w:pPr>
                    <w:spacing w:before="120" w:after="120" w:line="240" w:lineRule="auto"/>
                    <w:jc w:val="left"/>
                    <w:rPr>
                      <w:rFonts w:ascii="Cambria" w:hAnsi="Cambria"/>
                      <w:szCs w:val="24"/>
                    </w:rPr>
                  </w:pPr>
                </w:p>
                <w:p w:rsidR="007A74AB" w:rsidRPr="00062145" w:rsidRDefault="007A74AB" w:rsidP="00F149B4">
                  <w:pPr>
                    <w:spacing w:before="120" w:after="120" w:line="240" w:lineRule="auto"/>
                    <w:jc w:val="left"/>
                    <w:rPr>
                      <w:rFonts w:ascii="Cambria" w:hAnsi="Cambria"/>
                      <w:szCs w:val="24"/>
                    </w:rPr>
                  </w:pPr>
                </w:p>
                <w:p w:rsidR="007A74AB" w:rsidRPr="00062145" w:rsidRDefault="007A74AB" w:rsidP="00F149B4">
                  <w:pPr>
                    <w:spacing w:before="120" w:after="120" w:line="240" w:lineRule="auto"/>
                    <w:jc w:val="left"/>
                    <w:rPr>
                      <w:rFonts w:ascii="Cambria" w:hAnsi="Cambria"/>
                      <w:szCs w:val="24"/>
                    </w:rPr>
                  </w:pPr>
                </w:p>
              </w:tc>
              <w:tc>
                <w:tcPr>
                  <w:tcW w:w="2237" w:type="dxa"/>
                  <w:shd w:val="clear" w:color="auto" w:fill="auto"/>
                </w:tcPr>
                <w:p w:rsidR="007A74AB" w:rsidRPr="00062145" w:rsidRDefault="007A74AB" w:rsidP="00F149B4">
                  <w:pPr>
                    <w:spacing w:before="120" w:after="120" w:line="240" w:lineRule="auto"/>
                    <w:jc w:val="left"/>
                    <w:rPr>
                      <w:rFonts w:ascii="Cambria" w:hAnsi="Cambria"/>
                      <w:szCs w:val="24"/>
                    </w:rPr>
                  </w:pPr>
                </w:p>
              </w:tc>
              <w:tc>
                <w:tcPr>
                  <w:tcW w:w="2131" w:type="dxa"/>
                  <w:shd w:val="clear" w:color="auto" w:fill="auto"/>
                </w:tcPr>
                <w:p w:rsidR="007A74AB" w:rsidRPr="00062145" w:rsidRDefault="007A74AB" w:rsidP="00F149B4">
                  <w:pPr>
                    <w:spacing w:before="120" w:after="120" w:line="240" w:lineRule="auto"/>
                    <w:jc w:val="left"/>
                    <w:rPr>
                      <w:rFonts w:ascii="Cambria" w:hAnsi="Cambria"/>
                      <w:szCs w:val="24"/>
                    </w:rPr>
                  </w:pPr>
                </w:p>
              </w:tc>
            </w:tr>
          </w:tbl>
          <w:p w:rsidR="007A74AB" w:rsidRPr="00062145" w:rsidRDefault="007A74AB" w:rsidP="00F149B4">
            <w:pPr>
              <w:spacing w:before="120" w:after="120" w:line="240" w:lineRule="auto"/>
              <w:rPr>
                <w:rFonts w:ascii="Cambria" w:hAnsi="Cambria"/>
                <w:szCs w:val="24"/>
              </w:rPr>
            </w:pPr>
            <w:r w:rsidRPr="00062145">
              <w:rPr>
                <w:rFonts w:ascii="Cambria" w:hAnsi="Cambria"/>
                <w:szCs w:val="24"/>
              </w:rPr>
              <w:t>Овом активношћу се постиже да студенти активирају своја претходна знања о некој теми (</w:t>
            </w:r>
            <w:r w:rsidRPr="00062145">
              <w:rPr>
                <w:rFonts w:ascii="Cambria" w:hAnsi="Cambria"/>
                <w:i/>
                <w:szCs w:val="24"/>
              </w:rPr>
              <w:t>Знам</w:t>
            </w:r>
            <w:r w:rsidRPr="00062145">
              <w:rPr>
                <w:rFonts w:ascii="Cambria" w:hAnsi="Cambria"/>
                <w:szCs w:val="24"/>
              </w:rPr>
              <w:t>), да поставе циљеве учење и истовремено се мотивишу за учење (</w:t>
            </w:r>
            <w:r w:rsidRPr="00062145">
              <w:rPr>
                <w:rFonts w:ascii="Cambria" w:hAnsi="Cambria"/>
                <w:i/>
                <w:szCs w:val="24"/>
              </w:rPr>
              <w:t>Желим са сазнам</w:t>
            </w:r>
            <w:r w:rsidRPr="00062145">
              <w:rPr>
                <w:rFonts w:ascii="Cambria" w:hAnsi="Cambria"/>
                <w:szCs w:val="24"/>
              </w:rPr>
              <w:t>), као и да на крају часа сумирају шта су научили и да промисле шта би даље могли да уче и која им се нова питања отварају. Студенти могу питати наставника о ономе што су желели да сазнају, а нису то имали прилике да чују/науче на часу, али и да поставе нова питања и нове циљеве учења. Ови подаци могу такође користити и наставнику да сагледа студентска предзнања, њихова интересовања за тему, кључна питања, али и да увиди колико и на који начин је настава била корисна за учење студентима и на шта би се могао/ла фокусирати у даљем раду.</w:t>
            </w:r>
          </w:p>
          <w:p w:rsidR="007A74AB" w:rsidRPr="00062145" w:rsidRDefault="007A74AB" w:rsidP="00F149B4">
            <w:pPr>
              <w:spacing w:before="120" w:after="120" w:line="240" w:lineRule="auto"/>
              <w:jc w:val="left"/>
              <w:rPr>
                <w:rFonts w:ascii="Cambria" w:hAnsi="Cambria" w:cs="Arial"/>
                <w:spacing w:val="2"/>
                <w:szCs w:val="24"/>
              </w:rPr>
            </w:pPr>
          </w:p>
          <w:p w:rsidR="007A74AB" w:rsidRPr="00636635" w:rsidRDefault="007A74AB" w:rsidP="00F149B4">
            <w:pPr>
              <w:spacing w:before="120" w:after="120" w:line="240" w:lineRule="auto"/>
              <w:jc w:val="left"/>
              <w:rPr>
                <w:rFonts w:ascii="Cambria" w:hAnsi="Cambria"/>
                <w:b/>
                <w:color w:val="0070C0"/>
                <w:szCs w:val="24"/>
              </w:rPr>
            </w:pPr>
            <w:r w:rsidRPr="00636635">
              <w:rPr>
                <w:rFonts w:ascii="Cambria" w:hAnsi="Cambria"/>
                <w:b/>
                <w:color w:val="0070C0"/>
                <w:szCs w:val="24"/>
              </w:rPr>
              <w:t>Једноминутно писање / Излазна карта</w:t>
            </w:r>
          </w:p>
          <w:p w:rsidR="007A74AB" w:rsidRPr="00062145" w:rsidRDefault="007A74AB" w:rsidP="00F149B4">
            <w:pPr>
              <w:spacing w:before="120" w:after="120" w:line="240" w:lineRule="auto"/>
              <w:rPr>
                <w:rFonts w:ascii="Cambria" w:hAnsi="Cambria"/>
                <w:szCs w:val="24"/>
              </w:rPr>
            </w:pPr>
            <w:r w:rsidRPr="00062145">
              <w:rPr>
                <w:rFonts w:ascii="Cambria" w:hAnsi="Cambria"/>
                <w:szCs w:val="24"/>
              </w:rPr>
              <w:t xml:space="preserve">На крају часа или целине студенти на папиру одговарају на нека од следећих питања: </w:t>
            </w:r>
          </w:p>
          <w:p w:rsidR="007A74AB" w:rsidRPr="00062145" w:rsidRDefault="007A74AB" w:rsidP="00F149B4">
            <w:pPr>
              <w:numPr>
                <w:ilvl w:val="0"/>
                <w:numId w:val="1"/>
              </w:numPr>
              <w:spacing w:before="120" w:after="120" w:line="240" w:lineRule="auto"/>
              <w:jc w:val="left"/>
              <w:rPr>
                <w:rFonts w:ascii="Cambria" w:hAnsi="Cambria"/>
                <w:szCs w:val="24"/>
              </w:rPr>
            </w:pPr>
            <w:r w:rsidRPr="00062145">
              <w:rPr>
                <w:rFonts w:ascii="Cambria" w:hAnsi="Cambria"/>
                <w:i/>
                <w:iCs/>
                <w:szCs w:val="24"/>
              </w:rPr>
              <w:t>Научио сам ...</w:t>
            </w:r>
          </w:p>
          <w:p w:rsidR="007A74AB" w:rsidRPr="00062145" w:rsidRDefault="007A74AB" w:rsidP="00F149B4">
            <w:pPr>
              <w:numPr>
                <w:ilvl w:val="0"/>
                <w:numId w:val="1"/>
              </w:numPr>
              <w:spacing w:before="120" w:after="120" w:line="240" w:lineRule="auto"/>
              <w:jc w:val="left"/>
              <w:rPr>
                <w:rFonts w:ascii="Cambria" w:hAnsi="Cambria"/>
                <w:szCs w:val="24"/>
              </w:rPr>
            </w:pPr>
            <w:r w:rsidRPr="00062145">
              <w:rPr>
                <w:rFonts w:ascii="Cambria" w:hAnsi="Cambria"/>
                <w:i/>
                <w:iCs/>
                <w:szCs w:val="24"/>
              </w:rPr>
              <w:t>Сада могу/Умем да ...</w:t>
            </w:r>
          </w:p>
          <w:p w:rsidR="007A74AB" w:rsidRPr="00062145" w:rsidRDefault="007A74AB" w:rsidP="00F149B4">
            <w:pPr>
              <w:numPr>
                <w:ilvl w:val="0"/>
                <w:numId w:val="1"/>
              </w:numPr>
              <w:spacing w:before="120" w:after="120" w:line="240" w:lineRule="auto"/>
              <w:jc w:val="left"/>
              <w:rPr>
                <w:rFonts w:ascii="Cambria" w:hAnsi="Cambria"/>
                <w:szCs w:val="24"/>
              </w:rPr>
            </w:pPr>
            <w:r w:rsidRPr="00062145">
              <w:rPr>
                <w:rFonts w:ascii="Cambria" w:hAnsi="Cambria"/>
                <w:i/>
                <w:iCs/>
                <w:szCs w:val="24"/>
              </w:rPr>
              <w:t xml:space="preserve">Нисам  успео да ... </w:t>
            </w:r>
          </w:p>
          <w:p w:rsidR="007A74AB" w:rsidRPr="00062145" w:rsidRDefault="007A74AB" w:rsidP="00F149B4">
            <w:pPr>
              <w:numPr>
                <w:ilvl w:val="0"/>
                <w:numId w:val="1"/>
              </w:numPr>
              <w:spacing w:before="120" w:after="120" w:line="240" w:lineRule="auto"/>
              <w:jc w:val="left"/>
              <w:rPr>
                <w:rFonts w:ascii="Cambria" w:hAnsi="Cambria"/>
                <w:szCs w:val="24"/>
              </w:rPr>
            </w:pPr>
            <w:r w:rsidRPr="00062145">
              <w:rPr>
                <w:rFonts w:ascii="Cambria" w:hAnsi="Cambria"/>
                <w:i/>
                <w:iCs/>
                <w:szCs w:val="24"/>
              </w:rPr>
              <w:t>Треба да унапредим ...</w:t>
            </w:r>
          </w:p>
          <w:p w:rsidR="007A74AB" w:rsidRPr="00062145" w:rsidRDefault="007A74AB" w:rsidP="00F149B4">
            <w:pPr>
              <w:numPr>
                <w:ilvl w:val="0"/>
                <w:numId w:val="1"/>
              </w:numPr>
              <w:spacing w:before="120" w:after="120" w:line="240" w:lineRule="auto"/>
              <w:jc w:val="left"/>
              <w:rPr>
                <w:rFonts w:ascii="Cambria" w:hAnsi="Cambria"/>
                <w:szCs w:val="24"/>
              </w:rPr>
            </w:pPr>
            <w:r w:rsidRPr="00062145">
              <w:rPr>
                <w:rFonts w:ascii="Cambria" w:hAnsi="Cambria"/>
                <w:i/>
                <w:iCs/>
                <w:szCs w:val="24"/>
              </w:rPr>
              <w:t>Не разумем/Није ми јасно ...</w:t>
            </w:r>
          </w:p>
          <w:p w:rsidR="007A74AB" w:rsidRPr="00062145" w:rsidRDefault="007A74AB" w:rsidP="00F149B4">
            <w:pPr>
              <w:numPr>
                <w:ilvl w:val="0"/>
                <w:numId w:val="1"/>
              </w:numPr>
              <w:spacing w:before="120" w:after="120" w:line="240" w:lineRule="auto"/>
              <w:jc w:val="left"/>
              <w:rPr>
                <w:rFonts w:ascii="Cambria" w:hAnsi="Cambria"/>
                <w:i/>
                <w:szCs w:val="24"/>
              </w:rPr>
            </w:pPr>
            <w:r w:rsidRPr="00062145">
              <w:rPr>
                <w:rFonts w:ascii="Cambria" w:hAnsi="Cambria"/>
                <w:i/>
                <w:szCs w:val="24"/>
              </w:rPr>
              <w:t>Отворило ми се питање …</w:t>
            </w:r>
          </w:p>
          <w:p w:rsidR="007A74AB" w:rsidRPr="00062145" w:rsidRDefault="007A74AB" w:rsidP="00F149B4">
            <w:pPr>
              <w:numPr>
                <w:ilvl w:val="0"/>
                <w:numId w:val="1"/>
              </w:numPr>
              <w:spacing w:before="120" w:after="120" w:line="240" w:lineRule="auto"/>
              <w:jc w:val="left"/>
              <w:rPr>
                <w:rFonts w:ascii="Cambria" w:hAnsi="Cambria"/>
                <w:i/>
                <w:szCs w:val="24"/>
              </w:rPr>
            </w:pPr>
            <w:r w:rsidRPr="00062145">
              <w:rPr>
                <w:rFonts w:ascii="Cambria" w:hAnsi="Cambria"/>
                <w:i/>
                <w:szCs w:val="24"/>
              </w:rPr>
              <w:t>Добио/ла сам идеју да …</w:t>
            </w:r>
          </w:p>
          <w:p w:rsidR="007A74AB" w:rsidRPr="00062145" w:rsidRDefault="007A74AB" w:rsidP="00F149B4">
            <w:pPr>
              <w:numPr>
                <w:ilvl w:val="0"/>
                <w:numId w:val="1"/>
              </w:numPr>
              <w:spacing w:before="120" w:after="120" w:line="240" w:lineRule="auto"/>
              <w:jc w:val="left"/>
              <w:rPr>
                <w:rFonts w:ascii="Cambria" w:hAnsi="Cambria" w:cs="Arial"/>
                <w:spacing w:val="2"/>
                <w:szCs w:val="24"/>
              </w:rPr>
            </w:pPr>
            <w:r w:rsidRPr="00062145">
              <w:rPr>
                <w:rFonts w:ascii="Cambria" w:hAnsi="Cambria"/>
                <w:i/>
                <w:iCs/>
                <w:szCs w:val="24"/>
              </w:rPr>
              <w:t xml:space="preserve">Сада верујем ... </w:t>
            </w:r>
          </w:p>
          <w:p w:rsidR="007A74AB" w:rsidRPr="00062145" w:rsidRDefault="007A74AB" w:rsidP="00F149B4">
            <w:pPr>
              <w:numPr>
                <w:ilvl w:val="0"/>
                <w:numId w:val="1"/>
              </w:numPr>
              <w:spacing w:before="120" w:after="120" w:line="240" w:lineRule="auto"/>
              <w:jc w:val="left"/>
              <w:rPr>
                <w:rFonts w:ascii="Cambria" w:hAnsi="Cambria" w:cs="Arial"/>
                <w:spacing w:val="2"/>
                <w:szCs w:val="24"/>
              </w:rPr>
            </w:pPr>
            <w:r w:rsidRPr="00062145">
              <w:rPr>
                <w:rFonts w:ascii="Cambria" w:hAnsi="Cambria"/>
                <w:i/>
                <w:szCs w:val="24"/>
              </w:rPr>
              <w:t>Променио/ла сам – Нисам променио/ла свој однос према …  јер …</w:t>
            </w:r>
          </w:p>
          <w:p w:rsidR="007A74AB" w:rsidRPr="00062145" w:rsidRDefault="007A74AB" w:rsidP="00F149B4">
            <w:pPr>
              <w:spacing w:before="120" w:after="120" w:line="240" w:lineRule="auto"/>
              <w:jc w:val="left"/>
              <w:rPr>
                <w:rFonts w:ascii="Cambria" w:hAnsi="Cambria" w:cs="Arial"/>
                <w:spacing w:val="2"/>
                <w:szCs w:val="24"/>
              </w:rPr>
            </w:pPr>
          </w:p>
          <w:p w:rsidR="007A74AB" w:rsidRPr="00636635" w:rsidRDefault="007A74AB" w:rsidP="00F149B4">
            <w:pPr>
              <w:spacing w:before="120" w:after="120" w:line="240" w:lineRule="auto"/>
              <w:jc w:val="left"/>
              <w:rPr>
                <w:rFonts w:ascii="Cambria" w:hAnsi="Cambria"/>
                <w:b/>
                <w:color w:val="0070C0"/>
                <w:szCs w:val="24"/>
              </w:rPr>
            </w:pPr>
            <w:r w:rsidRPr="00636635">
              <w:rPr>
                <w:rFonts w:ascii="Cambria" w:hAnsi="Cambria"/>
                <w:b/>
                <w:color w:val="0070C0"/>
                <w:szCs w:val="24"/>
              </w:rPr>
              <w:t>Двоструко вођен дневник</w:t>
            </w:r>
          </w:p>
          <w:p w:rsidR="007A74AB" w:rsidRPr="00062145" w:rsidRDefault="007A74AB" w:rsidP="00F149B4">
            <w:pPr>
              <w:spacing w:before="120" w:after="120" w:line="240" w:lineRule="auto"/>
              <w:rPr>
                <w:rFonts w:ascii="Cambria" w:hAnsi="Cambria"/>
                <w:szCs w:val="24"/>
              </w:rPr>
            </w:pPr>
            <w:r w:rsidRPr="00062145">
              <w:rPr>
                <w:rFonts w:ascii="Cambria" w:hAnsi="Cambria"/>
                <w:szCs w:val="24"/>
              </w:rPr>
              <w:t xml:space="preserve">Студенти имају задатак да воде дневник и то тако што ће све уносе у дневник поделити у две колоне. У леву колону уписују одломке и најзначајније информације из текста који читају, или пак белешке са предавања, а у десну коментаре тих одломака, сопствена размишљања, питања, или неку другу напомену себи. </w:t>
            </w:r>
          </w:p>
          <w:p w:rsidR="007A74AB" w:rsidRPr="00062145" w:rsidRDefault="007A74AB" w:rsidP="00F149B4">
            <w:pPr>
              <w:spacing w:before="120" w:after="120" w:line="240" w:lineRule="auto"/>
              <w:jc w:val="left"/>
              <w:rPr>
                <w:rFonts w:ascii="Cambria" w:hAnsi="Cambria" w:cs="Arial"/>
                <w:spacing w:val="2"/>
                <w:szCs w:val="24"/>
              </w:rPr>
            </w:pPr>
          </w:p>
          <w:p w:rsidR="007A74AB" w:rsidRPr="00636635" w:rsidRDefault="007A74AB" w:rsidP="00F149B4">
            <w:pPr>
              <w:spacing w:before="120" w:after="120" w:line="240" w:lineRule="auto"/>
              <w:jc w:val="left"/>
              <w:rPr>
                <w:rFonts w:ascii="Cambria" w:hAnsi="Cambria"/>
                <w:b/>
                <w:color w:val="0070C0"/>
                <w:szCs w:val="24"/>
              </w:rPr>
            </w:pPr>
            <w:r w:rsidRPr="00636635">
              <w:rPr>
                <w:rFonts w:ascii="Cambria" w:hAnsi="Cambria"/>
                <w:b/>
                <w:color w:val="0070C0"/>
                <w:szCs w:val="24"/>
              </w:rPr>
              <w:t>Читање са ИНСЕРТ-овањем</w:t>
            </w:r>
          </w:p>
          <w:p w:rsidR="007A74AB" w:rsidRPr="00062145" w:rsidRDefault="007A74AB" w:rsidP="00F149B4">
            <w:pPr>
              <w:spacing w:before="120" w:after="120" w:line="240" w:lineRule="auto"/>
              <w:rPr>
                <w:rFonts w:ascii="Cambria" w:hAnsi="Cambria"/>
                <w:szCs w:val="24"/>
              </w:rPr>
            </w:pPr>
            <w:r w:rsidRPr="00062145">
              <w:rPr>
                <w:rFonts w:ascii="Cambria" w:hAnsi="Cambria"/>
                <w:szCs w:val="24"/>
              </w:rPr>
              <w:t>Студенти имају задатак да прочитају неки текст, а да на маргинама стављају симболе који означавају њихову реакцију на оно што читају. Можете осмислити свој систем симбола, специфичан за садржај и задатак, или користите неке уобичајене:</w:t>
            </w:r>
          </w:p>
          <w:p w:rsidR="007A74AB" w:rsidRPr="00062145" w:rsidRDefault="007A74AB" w:rsidP="00F149B4">
            <w:pPr>
              <w:spacing w:before="120" w:after="120" w:line="240" w:lineRule="auto"/>
              <w:ind w:left="720"/>
              <w:jc w:val="left"/>
              <w:rPr>
                <w:rFonts w:ascii="Cambria" w:hAnsi="Cambria"/>
                <w:szCs w:val="24"/>
              </w:rPr>
            </w:pPr>
            <w:r w:rsidRPr="00062145">
              <w:rPr>
                <w:rFonts w:ascii="Cambria" w:hAnsi="Cambria"/>
                <w:szCs w:val="24"/>
              </w:rPr>
              <w:sym w:font="Wingdings 2" w:char="F050"/>
            </w:r>
            <w:r w:rsidRPr="00062145">
              <w:rPr>
                <w:rFonts w:ascii="Cambria" w:hAnsi="Cambria"/>
                <w:szCs w:val="24"/>
              </w:rPr>
              <w:t xml:space="preserve"> већ сам знао/ла </w:t>
            </w:r>
          </w:p>
          <w:p w:rsidR="007A74AB" w:rsidRPr="00062145" w:rsidRDefault="007A74AB" w:rsidP="00F149B4">
            <w:pPr>
              <w:spacing w:before="120" w:after="120" w:line="240" w:lineRule="auto"/>
              <w:ind w:left="720"/>
              <w:jc w:val="left"/>
              <w:rPr>
                <w:rFonts w:ascii="Cambria" w:hAnsi="Cambria"/>
                <w:szCs w:val="24"/>
              </w:rPr>
            </w:pPr>
            <w:r w:rsidRPr="00062145">
              <w:rPr>
                <w:rFonts w:ascii="Cambria" w:hAnsi="Cambria"/>
                <w:szCs w:val="24"/>
              </w:rPr>
              <w:t>+ нова информација</w:t>
            </w:r>
          </w:p>
          <w:p w:rsidR="007A74AB" w:rsidRPr="00062145" w:rsidRDefault="007A74AB" w:rsidP="00F149B4">
            <w:pPr>
              <w:spacing w:before="120" w:after="120" w:line="240" w:lineRule="auto"/>
              <w:ind w:left="720"/>
              <w:jc w:val="left"/>
              <w:rPr>
                <w:rFonts w:ascii="Cambria" w:hAnsi="Cambria"/>
                <w:szCs w:val="24"/>
              </w:rPr>
            </w:pPr>
            <w:r w:rsidRPr="00062145">
              <w:rPr>
                <w:rFonts w:ascii="Cambria" w:hAnsi="Cambria"/>
                <w:szCs w:val="24"/>
              </w:rPr>
              <w:t>- погрешно сам мислио/ла</w:t>
            </w:r>
          </w:p>
          <w:p w:rsidR="007A74AB" w:rsidRPr="00062145" w:rsidRDefault="007A74AB" w:rsidP="00F149B4">
            <w:pPr>
              <w:spacing w:before="120" w:after="120" w:line="240" w:lineRule="auto"/>
              <w:ind w:left="720"/>
              <w:jc w:val="left"/>
              <w:rPr>
                <w:rFonts w:ascii="Cambria" w:hAnsi="Cambria"/>
                <w:szCs w:val="24"/>
              </w:rPr>
            </w:pPr>
            <w:r w:rsidRPr="00062145">
              <w:rPr>
                <w:rFonts w:ascii="Cambria" w:hAnsi="Cambria"/>
                <w:szCs w:val="24"/>
              </w:rPr>
              <w:t>? није ми јасно</w:t>
            </w:r>
          </w:p>
          <w:p w:rsidR="007A74AB" w:rsidRPr="00062145" w:rsidRDefault="007A74AB" w:rsidP="00F149B4">
            <w:pPr>
              <w:spacing w:before="120" w:after="120" w:line="240" w:lineRule="auto"/>
              <w:rPr>
                <w:rFonts w:ascii="Cambria" w:hAnsi="Cambria"/>
                <w:szCs w:val="24"/>
              </w:rPr>
            </w:pPr>
            <w:r w:rsidRPr="00062145">
              <w:rPr>
                <w:rFonts w:ascii="Cambria" w:hAnsi="Cambria"/>
                <w:szCs w:val="24"/>
              </w:rPr>
              <w:t>Радећи на овај начин студенти активно прате текст и прате своје разумевање док читају. Након “инсертовања” студенти могу дати осврт на то шта им је било познато, а шта ново од информација, као и да отворе питања о информацијама које их збуњују или о ономе о чему би волели још да причају у вези са прочитаним текстом и идејама које су у њему изнете. Ако се овакав начин читања моделује код студената, он се може проширити на целокупни процес учења (а не само за читање текста на часу или за домаћи задатак), те им може користити да прате и регулишу процес учења.</w:t>
            </w:r>
          </w:p>
          <w:p w:rsidR="007A74AB" w:rsidRPr="00062145" w:rsidRDefault="007A74AB" w:rsidP="00F149B4">
            <w:pPr>
              <w:spacing w:before="120" w:after="120" w:line="240" w:lineRule="auto"/>
              <w:jc w:val="left"/>
              <w:rPr>
                <w:rFonts w:ascii="Cambria" w:hAnsi="Cambria" w:cs="Arial"/>
                <w:spacing w:val="2"/>
                <w:szCs w:val="24"/>
              </w:rPr>
            </w:pPr>
          </w:p>
          <w:p w:rsidR="007A74AB" w:rsidRPr="00636635" w:rsidRDefault="007A74AB" w:rsidP="00F149B4">
            <w:pPr>
              <w:spacing w:before="120" w:after="120" w:line="240" w:lineRule="auto"/>
              <w:jc w:val="left"/>
              <w:rPr>
                <w:rFonts w:ascii="Cambria" w:hAnsi="Cambria" w:cs="Arial"/>
                <w:b/>
                <w:color w:val="0070C0"/>
                <w:spacing w:val="2"/>
                <w:szCs w:val="24"/>
              </w:rPr>
            </w:pPr>
            <w:r w:rsidRPr="00636635">
              <w:rPr>
                <w:rFonts w:ascii="Cambria" w:hAnsi="Cambria" w:cs="Arial"/>
                <w:b/>
                <w:color w:val="0070C0"/>
                <w:spacing w:val="2"/>
                <w:szCs w:val="24"/>
              </w:rPr>
              <w:t>Самооцењивање уз помоћ исхода</w:t>
            </w:r>
          </w:p>
          <w:p w:rsidR="007A74AB" w:rsidRPr="00062145" w:rsidRDefault="007A74AB" w:rsidP="00F149B4">
            <w:pPr>
              <w:spacing w:before="120" w:after="120" w:line="240" w:lineRule="auto"/>
            </w:pPr>
            <w:r w:rsidRPr="00062145">
              <w:rPr>
                <w:rFonts w:ascii="Cambria" w:hAnsi="Cambria"/>
                <w:szCs w:val="24"/>
              </w:rPr>
              <w:t>Повремено се могу организовати активности у којима ће студенти у групама процењивати степен напредовања ка достизању неког од планираних исхода. Свака група може да бира различит исход и заједнички разматра колико се напредовало. Потом је могуће организовати извештавање, дискусију и заједничку анализу о путу који још треба да пређу како би достигли предвиђени стандард.</w:t>
            </w:r>
          </w:p>
        </w:tc>
      </w:tr>
    </w:tbl>
    <w:p w:rsidR="007A74AB" w:rsidRPr="00062145" w:rsidRDefault="007A74AB" w:rsidP="007A74AB">
      <w:pPr>
        <w:spacing w:after="120"/>
        <w:jc w:val="left"/>
        <w:rPr>
          <w:rFonts w:ascii="Cambria" w:hAnsi="Cambria"/>
          <w:b/>
          <w:szCs w:val="24"/>
        </w:rPr>
      </w:pPr>
    </w:p>
    <w:p w:rsidR="007A74AB" w:rsidRPr="00F901BF" w:rsidRDefault="007A74AB" w:rsidP="007A74AB">
      <w:pPr>
        <w:pStyle w:val="Heading3"/>
      </w:pPr>
      <w:r w:rsidRPr="00F901BF">
        <w:t>Објективно структуирано клиничко испитивање као метода за процену компетенција студената у области здравствених наука</w:t>
      </w:r>
    </w:p>
    <w:p w:rsidR="007A74AB" w:rsidRPr="00062145" w:rsidRDefault="007A74AB" w:rsidP="007A74AB">
      <w:pPr>
        <w:spacing w:after="120"/>
        <w:ind w:firstLine="720"/>
        <w:rPr>
          <w:rFonts w:ascii="Cambria" w:hAnsi="Cambria" w:cs="Arial"/>
          <w:szCs w:val="24"/>
        </w:rPr>
      </w:pPr>
      <w:r w:rsidRPr="00062145">
        <w:rPr>
          <w:rFonts w:ascii="Cambria" w:hAnsi="Cambria" w:cs="Arial"/>
          <w:szCs w:val="24"/>
        </w:rPr>
        <w:t xml:space="preserve">Објективно структуирано клиничко испитивање (енгл. </w:t>
      </w:r>
      <w:r w:rsidRPr="00062145">
        <w:rPr>
          <w:rFonts w:ascii="Cambria" w:hAnsi="Cambria" w:cs="Arial"/>
          <w:i/>
          <w:szCs w:val="24"/>
        </w:rPr>
        <w:t>Оbjective structured clinical examination, OSCE</w:t>
      </w:r>
      <w:r w:rsidRPr="00062145">
        <w:rPr>
          <w:rFonts w:ascii="Cambria" w:hAnsi="Cambria" w:cs="Arial"/>
          <w:szCs w:val="24"/>
        </w:rPr>
        <w:t>) представља комплексан приступ процени компетенција с циљем праћења и оцењивања студената који је све више заступљен у области здравствених наука. У оквиру ове методе оцењивања, студенти се у току испита сусрећу са већим бројем различитих студија случаја заснованих на реалним примерима из клиничке праксе и од њих се очекује да, у ограниченом периоду времена, одреагују на одговарајући начин, реше одређене проблеме, односно спроведу неку од професионалних активности/процедура. Добро осмишљено објективно структуирано клиничко испитивање омогућава процену клиничких и практичних вештина студената, као и њихове способности да се теоријска знања примене у пракси. Испит се обично реализује у стандардизованим, контролисаним условима, на универзитету, али може укључивати контакт са стварним или симулираним пацијентима. Успостављање овог вида праћења и оцењивања студената захтева доста времена, пажљиво планирање, припрему одговарајућих студија случаја/клиничких вињета и ангажовање већег броја наставника и сарадника. Потребно је пажљиво размотрити и дефинисати одговарајуће теме и број „станица“, односно задатака које ће студент решавати у току испита, припремити унапред довољно велику базу релевантних и реалистичних питања/клиничких сценарија, и спровести обуку симулираних/стандардизованих пацијената који су укључени у испит, као и наставног особља које је ангажовано у реализацији испита.</w:t>
      </w:r>
    </w:p>
    <w:p w:rsidR="007A74AB" w:rsidRPr="001C20FC" w:rsidRDefault="007A74AB" w:rsidP="007A74AB">
      <w:pPr>
        <w:spacing w:after="120"/>
        <w:jc w:val="left"/>
        <w:rPr>
          <w:rFonts w:ascii="Cambria" w:hAnsi="Cambria" w:cs="Arial"/>
          <w:b/>
          <w:color w:val="E36C0A"/>
          <w:sz w:val="28"/>
          <w:szCs w:val="28"/>
        </w:rPr>
      </w:pPr>
    </w:p>
    <w:p w:rsidR="007A74AB" w:rsidRPr="00F901BF" w:rsidRDefault="007A74AB" w:rsidP="007A74AB">
      <w:pPr>
        <w:spacing w:after="120"/>
        <w:jc w:val="left"/>
        <w:rPr>
          <w:rFonts w:ascii="Cambria" w:hAnsi="Cambria" w:cs="Arial"/>
          <w:b/>
          <w:color w:val="0070C0"/>
          <w:szCs w:val="24"/>
        </w:rPr>
      </w:pPr>
      <w:r w:rsidRPr="00F901BF">
        <w:rPr>
          <w:rFonts w:ascii="Cambria" w:hAnsi="Cambria" w:cs="Arial"/>
          <w:b/>
          <w:color w:val="0070C0"/>
          <w:szCs w:val="24"/>
        </w:rPr>
        <w:t>Портфолио као метода за евалуацију обављања конкретних активности у клиничкој пракси</w:t>
      </w:r>
    </w:p>
    <w:p w:rsidR="007A74AB" w:rsidRDefault="007A74AB" w:rsidP="007A74AB">
      <w:pPr>
        <w:spacing w:after="120"/>
        <w:jc w:val="left"/>
        <w:rPr>
          <w:rFonts w:ascii="Cambria" w:hAnsi="Cambria" w:cs="Arial"/>
          <w:szCs w:val="24"/>
        </w:rPr>
      </w:pPr>
      <w:r w:rsidRPr="00636635">
        <w:rPr>
          <w:rFonts w:ascii="Cambria" w:hAnsi="Cambria" w:cs="Arial"/>
          <w:szCs w:val="24"/>
        </w:rPr>
        <w:t>Портфоли</w:t>
      </w:r>
      <w:r>
        <w:rPr>
          <w:rFonts w:ascii="Cambria" w:hAnsi="Cambria" w:cs="Arial"/>
          <w:szCs w:val="24"/>
          <w:lang w:val="hr-HR"/>
        </w:rPr>
        <w:t xml:space="preserve">o </w:t>
      </w:r>
      <w:r w:rsidRPr="00636635">
        <w:rPr>
          <w:rFonts w:ascii="Cambria" w:hAnsi="Cambria" w:cs="Arial"/>
          <w:szCs w:val="24"/>
        </w:rPr>
        <w:t xml:space="preserve">представља још једну од метода </w:t>
      </w:r>
      <w:r>
        <w:rPr>
          <w:rFonts w:ascii="Cambria" w:hAnsi="Cambria" w:cs="Arial"/>
          <w:szCs w:val="24"/>
        </w:rPr>
        <w:t xml:space="preserve">евалуације која може да има улогу и у сумативном и у формативном праћењу и оцењивању. Ова метода обезбеђује доказ о обављеним </w:t>
      </w:r>
      <w:r w:rsidRPr="00E32038">
        <w:rPr>
          <w:rFonts w:ascii="Cambria" w:hAnsi="Cambria" w:cs="Arial"/>
          <w:szCs w:val="24"/>
        </w:rPr>
        <w:t>активности</w:t>
      </w:r>
      <w:r>
        <w:rPr>
          <w:rFonts w:ascii="Cambria" w:hAnsi="Cambria" w:cs="Arial"/>
          <w:szCs w:val="24"/>
        </w:rPr>
        <w:t>ма</w:t>
      </w:r>
      <w:r w:rsidRPr="00E32038">
        <w:rPr>
          <w:rFonts w:ascii="Cambria" w:hAnsi="Cambria" w:cs="Arial"/>
          <w:szCs w:val="24"/>
        </w:rPr>
        <w:t xml:space="preserve"> у клиничкој пракси</w:t>
      </w:r>
      <w:r>
        <w:rPr>
          <w:rFonts w:ascii="Cambria" w:hAnsi="Cambria" w:cs="Arial"/>
          <w:szCs w:val="24"/>
        </w:rPr>
        <w:t xml:space="preserve">, а уједно омогућава увид у процес учења и остварене резултате. Овакви подаци омогућавају наставнику да пружи индивуализовану повратну информацију која представља подршку за даље учење. С друге стране, вођење портфолија подстиче </w:t>
      </w:r>
      <w:r w:rsidRPr="00636635">
        <w:rPr>
          <w:rFonts w:ascii="Cambria" w:hAnsi="Cambria" w:cs="Arial"/>
          <w:szCs w:val="24"/>
        </w:rPr>
        <w:t>студент</w:t>
      </w:r>
      <w:r>
        <w:rPr>
          <w:rFonts w:ascii="Cambria" w:hAnsi="Cambria" w:cs="Arial"/>
          <w:szCs w:val="24"/>
        </w:rPr>
        <w:t>а</w:t>
      </w:r>
      <w:r w:rsidRPr="00636635">
        <w:rPr>
          <w:rFonts w:ascii="Cambria" w:hAnsi="Cambria" w:cs="Arial"/>
          <w:szCs w:val="24"/>
        </w:rPr>
        <w:t xml:space="preserve"> да </w:t>
      </w:r>
      <w:r>
        <w:rPr>
          <w:rFonts w:ascii="Cambria" w:hAnsi="Cambria" w:cs="Arial"/>
          <w:szCs w:val="24"/>
        </w:rPr>
        <w:t>прати сопствени процес учења и преузме</w:t>
      </w:r>
      <w:r w:rsidRPr="00636635">
        <w:rPr>
          <w:rFonts w:ascii="Cambria" w:hAnsi="Cambria" w:cs="Arial"/>
          <w:szCs w:val="24"/>
        </w:rPr>
        <w:t xml:space="preserve"> одговорност </w:t>
      </w:r>
      <w:r>
        <w:rPr>
          <w:rFonts w:ascii="Cambria" w:hAnsi="Cambria" w:cs="Arial"/>
          <w:szCs w:val="24"/>
        </w:rPr>
        <w:t>за њега, као и да процењује у којој мери је постигао исходе према</w:t>
      </w:r>
      <w:r w:rsidRPr="00636635">
        <w:rPr>
          <w:rFonts w:ascii="Cambria" w:hAnsi="Cambria" w:cs="Arial"/>
          <w:szCs w:val="24"/>
        </w:rPr>
        <w:t xml:space="preserve"> унапред дефинисаним критеријумима</w:t>
      </w:r>
      <w:r>
        <w:rPr>
          <w:rFonts w:ascii="Cambria" w:hAnsi="Cambria" w:cs="Arial"/>
          <w:szCs w:val="24"/>
        </w:rPr>
        <w:t xml:space="preserve"> и упутствима које је добио од наставника и ментора</w:t>
      </w:r>
      <w:r w:rsidRPr="00636635">
        <w:rPr>
          <w:rFonts w:ascii="Cambria" w:hAnsi="Cambria" w:cs="Arial"/>
          <w:szCs w:val="24"/>
        </w:rPr>
        <w:t xml:space="preserve">. </w:t>
      </w:r>
    </w:p>
    <w:p w:rsidR="007A74AB" w:rsidRPr="00636635" w:rsidRDefault="007A74AB" w:rsidP="007A74AB">
      <w:pPr>
        <w:spacing w:after="120"/>
        <w:jc w:val="left"/>
        <w:rPr>
          <w:rFonts w:ascii="Cambria" w:hAnsi="Cambria" w:cs="Arial"/>
          <w:szCs w:val="24"/>
        </w:rPr>
      </w:pPr>
      <w:r w:rsidRPr="00636635">
        <w:rPr>
          <w:rFonts w:ascii="Cambria" w:hAnsi="Cambria" w:cs="Arial"/>
          <w:szCs w:val="24"/>
        </w:rPr>
        <w:t>Портфоли</w:t>
      </w:r>
      <w:r>
        <w:rPr>
          <w:rFonts w:ascii="Cambria" w:hAnsi="Cambria" w:cs="Arial"/>
          <w:szCs w:val="24"/>
        </w:rPr>
        <w:t xml:space="preserve">о </w:t>
      </w:r>
      <w:r w:rsidRPr="00636635">
        <w:rPr>
          <w:rFonts w:ascii="Cambria" w:hAnsi="Cambria" w:cs="Arial"/>
          <w:szCs w:val="24"/>
        </w:rPr>
        <w:t xml:space="preserve">олакшава евалуацију интегрисаних и комплексних способности узимајући у обзир очекивани ниво знања у одговарајућем контексту. Активно учешће ментора из праксе </w:t>
      </w:r>
      <w:r>
        <w:rPr>
          <w:rFonts w:ascii="Cambria" w:hAnsi="Cambria" w:cs="Arial"/>
          <w:szCs w:val="24"/>
        </w:rPr>
        <w:t xml:space="preserve">кроз коментаре, дискусије и давање одговарајућих повратних информација </w:t>
      </w:r>
      <w:r w:rsidRPr="00636635">
        <w:rPr>
          <w:rFonts w:ascii="Cambria" w:hAnsi="Cambria" w:cs="Arial"/>
          <w:szCs w:val="24"/>
        </w:rPr>
        <w:t>доприноси повећању ефективности ове методе</w:t>
      </w:r>
      <w:r>
        <w:rPr>
          <w:rFonts w:ascii="Cambria" w:hAnsi="Cambria" w:cs="Arial"/>
          <w:szCs w:val="24"/>
        </w:rPr>
        <w:t xml:space="preserve"> евалуације</w:t>
      </w:r>
      <w:r w:rsidRPr="00636635">
        <w:rPr>
          <w:rFonts w:ascii="Cambria" w:hAnsi="Cambria" w:cs="Arial"/>
          <w:szCs w:val="24"/>
        </w:rPr>
        <w:t xml:space="preserve">, а према неким ауторима сматра се и круцијалном за успешну примену методе. </w:t>
      </w:r>
    </w:p>
    <w:p w:rsidR="007A74AB" w:rsidRDefault="007A74AB" w:rsidP="007A74AB">
      <w:pPr>
        <w:spacing w:after="120"/>
        <w:jc w:val="left"/>
        <w:rPr>
          <w:rFonts w:ascii="Cambria" w:hAnsi="Cambria" w:cs="Arial"/>
          <w:szCs w:val="24"/>
        </w:rPr>
      </w:pPr>
      <w:r>
        <w:rPr>
          <w:rFonts w:ascii="Cambria" w:hAnsi="Cambria" w:cs="Arial"/>
          <w:szCs w:val="24"/>
        </w:rPr>
        <w:t>Поред</w:t>
      </w:r>
      <w:r w:rsidRPr="00636635">
        <w:rPr>
          <w:rFonts w:ascii="Cambria" w:hAnsi="Cambria" w:cs="Arial"/>
          <w:szCs w:val="24"/>
        </w:rPr>
        <w:t xml:space="preserve"> информациј</w:t>
      </w:r>
      <w:r>
        <w:rPr>
          <w:rFonts w:ascii="Cambria" w:hAnsi="Cambria" w:cs="Arial"/>
          <w:szCs w:val="24"/>
        </w:rPr>
        <w:t>а</w:t>
      </w:r>
      <w:r w:rsidRPr="00636635">
        <w:rPr>
          <w:rFonts w:ascii="Cambria" w:hAnsi="Cambria" w:cs="Arial"/>
          <w:szCs w:val="24"/>
        </w:rPr>
        <w:t xml:space="preserve"> о континуираном раду студента (обав</w:t>
      </w:r>
      <w:r>
        <w:rPr>
          <w:rFonts w:ascii="Cambria" w:hAnsi="Cambria" w:cs="Arial"/>
          <w:szCs w:val="24"/>
        </w:rPr>
        <w:t>љ</w:t>
      </w:r>
      <w:r w:rsidRPr="00636635">
        <w:rPr>
          <w:rFonts w:ascii="Cambria" w:hAnsi="Cambria" w:cs="Arial"/>
          <w:szCs w:val="24"/>
        </w:rPr>
        <w:t>еним конкретним активностима) током одређеног временског периода, као доказе о учењу и напредовању у постизању ци</w:t>
      </w:r>
      <w:r>
        <w:rPr>
          <w:rFonts w:ascii="Cambria" w:hAnsi="Cambria" w:cs="Arial"/>
          <w:szCs w:val="24"/>
        </w:rPr>
        <w:t>љ</w:t>
      </w:r>
      <w:r w:rsidRPr="00636635">
        <w:rPr>
          <w:rFonts w:ascii="Cambria" w:hAnsi="Cambria" w:cs="Arial"/>
          <w:szCs w:val="24"/>
        </w:rPr>
        <w:t xml:space="preserve">ева и исхода учења, </w:t>
      </w:r>
      <w:r>
        <w:rPr>
          <w:rFonts w:ascii="Cambria" w:hAnsi="Cambria" w:cs="Arial"/>
          <w:szCs w:val="24"/>
        </w:rPr>
        <w:t xml:space="preserve">портфолио треба да садржи </w:t>
      </w:r>
      <w:r w:rsidRPr="00636635">
        <w:rPr>
          <w:rFonts w:ascii="Cambria" w:hAnsi="Cambria" w:cs="Arial"/>
          <w:szCs w:val="24"/>
        </w:rPr>
        <w:t xml:space="preserve">и рефлексију студента </w:t>
      </w:r>
      <w:r>
        <w:rPr>
          <w:rFonts w:ascii="Cambria" w:hAnsi="Cambria" w:cs="Arial"/>
          <w:szCs w:val="24"/>
        </w:rPr>
        <w:t xml:space="preserve">о </w:t>
      </w:r>
      <w:r w:rsidRPr="00636635">
        <w:rPr>
          <w:rFonts w:ascii="Cambria" w:hAnsi="Cambria" w:cs="Arial"/>
          <w:szCs w:val="24"/>
        </w:rPr>
        <w:t>спроведен</w:t>
      </w:r>
      <w:r>
        <w:rPr>
          <w:rFonts w:ascii="Cambria" w:hAnsi="Cambria" w:cs="Arial"/>
          <w:szCs w:val="24"/>
        </w:rPr>
        <w:t xml:space="preserve">им </w:t>
      </w:r>
      <w:r w:rsidRPr="00636635">
        <w:rPr>
          <w:rFonts w:ascii="Cambria" w:hAnsi="Cambria" w:cs="Arial"/>
          <w:szCs w:val="24"/>
        </w:rPr>
        <w:t>активности</w:t>
      </w:r>
      <w:r>
        <w:rPr>
          <w:rFonts w:ascii="Cambria" w:hAnsi="Cambria" w:cs="Arial"/>
          <w:szCs w:val="24"/>
        </w:rPr>
        <w:t>ма, процесу и резултатима учења</w:t>
      </w:r>
      <w:r w:rsidRPr="00636635">
        <w:rPr>
          <w:rFonts w:ascii="Cambria" w:hAnsi="Cambria" w:cs="Arial"/>
          <w:szCs w:val="24"/>
        </w:rPr>
        <w:t>, што портфол</w:t>
      </w:r>
      <w:r>
        <w:rPr>
          <w:rFonts w:ascii="Cambria" w:hAnsi="Cambria" w:cs="Arial"/>
          <w:szCs w:val="24"/>
        </w:rPr>
        <w:t xml:space="preserve">о </w:t>
      </w:r>
      <w:r w:rsidRPr="00636635">
        <w:rPr>
          <w:rFonts w:ascii="Cambria" w:hAnsi="Cambria" w:cs="Arial"/>
          <w:szCs w:val="24"/>
        </w:rPr>
        <w:t>разликује од класичног дневника спроведених активно</w:t>
      </w:r>
      <w:r>
        <w:rPr>
          <w:rFonts w:ascii="Cambria" w:hAnsi="Cambria" w:cs="Arial"/>
          <w:szCs w:val="24"/>
        </w:rPr>
        <w:t>с</w:t>
      </w:r>
      <w:r w:rsidRPr="00636635">
        <w:rPr>
          <w:rFonts w:ascii="Cambria" w:hAnsi="Cambria" w:cs="Arial"/>
          <w:szCs w:val="24"/>
        </w:rPr>
        <w:t xml:space="preserve">ти. </w:t>
      </w:r>
    </w:p>
    <w:p w:rsidR="007A74AB" w:rsidRPr="00636635" w:rsidRDefault="007A74AB" w:rsidP="007A74AB">
      <w:pPr>
        <w:spacing w:after="120"/>
        <w:jc w:val="left"/>
        <w:rPr>
          <w:rFonts w:ascii="Cambria" w:hAnsi="Cambria" w:cs="Arial"/>
          <w:szCs w:val="24"/>
        </w:rPr>
      </w:pPr>
      <w:r>
        <w:rPr>
          <w:rFonts w:ascii="Cambria" w:hAnsi="Cambria" w:cs="Arial"/>
          <w:szCs w:val="24"/>
        </w:rPr>
        <w:t xml:space="preserve">Поред примене у формативном и сумативном оцењивању студената, </w:t>
      </w:r>
      <w:r w:rsidRPr="00636635">
        <w:rPr>
          <w:rFonts w:ascii="Cambria" w:hAnsi="Cambria" w:cs="Arial"/>
          <w:szCs w:val="24"/>
        </w:rPr>
        <w:t>портфоли</w:t>
      </w:r>
      <w:r>
        <w:rPr>
          <w:rFonts w:ascii="Cambria" w:hAnsi="Cambria" w:cs="Arial"/>
          <w:szCs w:val="24"/>
        </w:rPr>
        <w:t xml:space="preserve">о </w:t>
      </w:r>
      <w:r w:rsidRPr="00636635">
        <w:rPr>
          <w:rFonts w:ascii="Cambria" w:hAnsi="Cambria" w:cs="Arial"/>
          <w:szCs w:val="24"/>
        </w:rPr>
        <w:t xml:space="preserve">се </w:t>
      </w:r>
      <w:r>
        <w:rPr>
          <w:rFonts w:ascii="Cambria" w:hAnsi="Cambria" w:cs="Arial"/>
          <w:szCs w:val="24"/>
        </w:rPr>
        <w:t xml:space="preserve">може </w:t>
      </w:r>
      <w:r w:rsidRPr="00636635">
        <w:rPr>
          <w:rFonts w:ascii="Cambria" w:hAnsi="Cambria" w:cs="Arial"/>
          <w:szCs w:val="24"/>
        </w:rPr>
        <w:t>корист</w:t>
      </w:r>
      <w:r>
        <w:rPr>
          <w:rFonts w:ascii="Cambria" w:hAnsi="Cambria" w:cs="Arial"/>
          <w:szCs w:val="24"/>
        </w:rPr>
        <w:t xml:space="preserve">ити </w:t>
      </w:r>
      <w:r w:rsidRPr="00636635">
        <w:rPr>
          <w:rFonts w:ascii="Cambria" w:hAnsi="Cambria" w:cs="Arial"/>
          <w:szCs w:val="24"/>
        </w:rPr>
        <w:t xml:space="preserve">и у контексту целоживотног учења </w:t>
      </w:r>
      <w:r>
        <w:rPr>
          <w:rFonts w:ascii="Cambria" w:hAnsi="Cambria" w:cs="Arial"/>
          <w:szCs w:val="24"/>
        </w:rPr>
        <w:t xml:space="preserve">за </w:t>
      </w:r>
      <w:r w:rsidRPr="00636635">
        <w:rPr>
          <w:rFonts w:ascii="Cambria" w:hAnsi="Cambria" w:cs="Arial"/>
          <w:szCs w:val="24"/>
        </w:rPr>
        <w:t>документовање обављених професиона</w:t>
      </w:r>
      <w:r>
        <w:rPr>
          <w:rFonts w:ascii="Cambria" w:hAnsi="Cambria" w:cs="Arial"/>
          <w:szCs w:val="24"/>
        </w:rPr>
        <w:t>лн</w:t>
      </w:r>
      <w:r w:rsidRPr="00636635">
        <w:rPr>
          <w:rFonts w:ascii="Cambria" w:hAnsi="Cambria" w:cs="Arial"/>
          <w:szCs w:val="24"/>
        </w:rPr>
        <w:t>их активности</w:t>
      </w:r>
      <w:r>
        <w:rPr>
          <w:rFonts w:ascii="Cambria" w:hAnsi="Cambria" w:cs="Arial"/>
          <w:szCs w:val="24"/>
        </w:rPr>
        <w:t>, развој п</w:t>
      </w:r>
      <w:r w:rsidRPr="00636635">
        <w:rPr>
          <w:rFonts w:ascii="Cambria" w:hAnsi="Cambria" w:cs="Arial"/>
          <w:szCs w:val="24"/>
        </w:rPr>
        <w:t>рофе</w:t>
      </w:r>
      <w:r>
        <w:rPr>
          <w:rFonts w:ascii="Cambria" w:hAnsi="Cambria" w:cs="Arial"/>
          <w:szCs w:val="24"/>
        </w:rPr>
        <w:t>с</w:t>
      </w:r>
      <w:r w:rsidRPr="00636635">
        <w:rPr>
          <w:rFonts w:ascii="Cambria" w:hAnsi="Cambria" w:cs="Arial"/>
          <w:szCs w:val="24"/>
        </w:rPr>
        <w:t>ионалног понашања</w:t>
      </w:r>
      <w:r>
        <w:rPr>
          <w:rFonts w:ascii="Cambria" w:hAnsi="Cambria" w:cs="Arial"/>
          <w:szCs w:val="24"/>
        </w:rPr>
        <w:t xml:space="preserve"> и лиценцирање лекара, фармацеута, стоматолога и других здравствених радника</w:t>
      </w:r>
      <w:r w:rsidRPr="00636635">
        <w:rPr>
          <w:rFonts w:ascii="Cambria" w:hAnsi="Cambria" w:cs="Arial"/>
          <w:szCs w:val="24"/>
        </w:rPr>
        <w:t xml:space="preserve">.    </w:t>
      </w:r>
    </w:p>
    <w:p w:rsidR="007A74AB" w:rsidRPr="00062145" w:rsidRDefault="007A74AB" w:rsidP="007A74AB">
      <w:pPr>
        <w:spacing w:after="120"/>
        <w:jc w:val="left"/>
        <w:rPr>
          <w:rFonts w:ascii="Cambria" w:hAnsi="Cambria" w:cs="Arial"/>
          <w:szCs w:val="24"/>
        </w:rPr>
      </w:pPr>
    </w:p>
    <w:p w:rsidR="00D823A5" w:rsidRDefault="00D823A5"/>
    <w:sectPr w:rsidR="00D823A5" w:rsidSect="00D823A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77D" w:rsidRDefault="0028377D" w:rsidP="007A74AB">
      <w:pPr>
        <w:spacing w:line="240" w:lineRule="auto"/>
      </w:pPr>
      <w:r>
        <w:separator/>
      </w:r>
    </w:p>
  </w:endnote>
  <w:endnote w:type="continuationSeparator" w:id="1">
    <w:p w:rsidR="0028377D" w:rsidRDefault="0028377D" w:rsidP="007A74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77D" w:rsidRDefault="0028377D" w:rsidP="007A74AB">
      <w:pPr>
        <w:spacing w:line="240" w:lineRule="auto"/>
      </w:pPr>
      <w:r>
        <w:separator/>
      </w:r>
    </w:p>
  </w:footnote>
  <w:footnote w:type="continuationSeparator" w:id="1">
    <w:p w:rsidR="0028377D" w:rsidRDefault="0028377D" w:rsidP="007A74AB">
      <w:pPr>
        <w:spacing w:line="240" w:lineRule="auto"/>
      </w:pPr>
      <w:r>
        <w:continuationSeparator/>
      </w:r>
    </w:p>
  </w:footnote>
  <w:footnote w:id="2">
    <w:p w:rsidR="007A74AB" w:rsidRPr="00060FDB" w:rsidRDefault="007A74AB" w:rsidP="007A74AB">
      <w:pPr>
        <w:pStyle w:val="FootnoteText"/>
      </w:pPr>
      <w:r>
        <w:rPr>
          <w:rStyle w:val="FootnoteReference"/>
        </w:rPr>
        <w:footnoteRef/>
      </w:r>
      <w:r>
        <w:t xml:space="preserve">Хавелка, Н. (2000). </w:t>
      </w:r>
      <w:r w:rsidRPr="00060FDB">
        <w:t>Ученик и наставник у образовном процесу</w:t>
      </w:r>
      <w:r>
        <w:rPr>
          <w:i/>
        </w:rPr>
        <w:t xml:space="preserve">. </w:t>
      </w:r>
      <w:r>
        <w:t>Београд: Завод за уџбенике и наставна средства.</w:t>
      </w:r>
    </w:p>
  </w:footnote>
  <w:footnote w:id="3">
    <w:p w:rsidR="007A74AB" w:rsidRPr="00E935BB" w:rsidRDefault="007A74AB" w:rsidP="007A74AB">
      <w:pPr>
        <w:pStyle w:val="FootnoteText"/>
        <w:rPr>
          <w:rFonts w:ascii="Calibri" w:hAnsi="Calibri"/>
        </w:rPr>
      </w:pPr>
      <w:r w:rsidRPr="00E935BB">
        <w:rPr>
          <w:rStyle w:val="FootnoteReference"/>
          <w:rFonts w:ascii="Calibri" w:hAnsi="Calibri"/>
        </w:rPr>
        <w:footnoteRef/>
      </w:r>
      <w:r w:rsidRPr="00E935BB">
        <w:rPr>
          <w:rFonts w:ascii="Calibri" w:hAnsi="Calibri"/>
        </w:rPr>
        <w:t xml:space="preserve"> </w:t>
      </w:r>
      <w:r>
        <w:t xml:space="preserve">Хавелка, Н. (2000). </w:t>
      </w:r>
      <w:r w:rsidRPr="005B54C8">
        <w:t>Ученик и наставник у образовном процесу</w:t>
      </w:r>
      <w:r>
        <w:rPr>
          <w:i/>
        </w:rPr>
        <w:t xml:space="preserve">. </w:t>
      </w:r>
      <w:r>
        <w:t>Београд: Завод за уџбенике и наставна средства.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8B5ABF"/>
    <w:multiLevelType w:val="hybridMultilevel"/>
    <w:tmpl w:val="7ADCDF56"/>
    <w:lvl w:ilvl="0" w:tplc="71A4FCEC">
      <w:start w:val="1"/>
      <w:numFmt w:val="bullet"/>
      <w:lvlText w:val="•"/>
      <w:lvlJc w:val="left"/>
      <w:pPr>
        <w:tabs>
          <w:tab w:val="num" w:pos="720"/>
        </w:tabs>
        <w:ind w:left="720" w:hanging="360"/>
      </w:pPr>
      <w:rPr>
        <w:rFonts w:ascii="Times New Roman" w:hAnsi="Times New Roman" w:hint="default"/>
      </w:rPr>
    </w:lvl>
    <w:lvl w:ilvl="1" w:tplc="81AC295C" w:tentative="1">
      <w:start w:val="1"/>
      <w:numFmt w:val="bullet"/>
      <w:lvlText w:val="•"/>
      <w:lvlJc w:val="left"/>
      <w:pPr>
        <w:tabs>
          <w:tab w:val="num" w:pos="1440"/>
        </w:tabs>
        <w:ind w:left="1440" w:hanging="360"/>
      </w:pPr>
      <w:rPr>
        <w:rFonts w:ascii="Times New Roman" w:hAnsi="Times New Roman" w:hint="default"/>
      </w:rPr>
    </w:lvl>
    <w:lvl w:ilvl="2" w:tplc="18A24C28" w:tentative="1">
      <w:start w:val="1"/>
      <w:numFmt w:val="bullet"/>
      <w:lvlText w:val="•"/>
      <w:lvlJc w:val="left"/>
      <w:pPr>
        <w:tabs>
          <w:tab w:val="num" w:pos="2160"/>
        </w:tabs>
        <w:ind w:left="2160" w:hanging="360"/>
      </w:pPr>
      <w:rPr>
        <w:rFonts w:ascii="Times New Roman" w:hAnsi="Times New Roman" w:hint="default"/>
      </w:rPr>
    </w:lvl>
    <w:lvl w:ilvl="3" w:tplc="E9B8E81A" w:tentative="1">
      <w:start w:val="1"/>
      <w:numFmt w:val="bullet"/>
      <w:lvlText w:val="•"/>
      <w:lvlJc w:val="left"/>
      <w:pPr>
        <w:tabs>
          <w:tab w:val="num" w:pos="2880"/>
        </w:tabs>
        <w:ind w:left="2880" w:hanging="360"/>
      </w:pPr>
      <w:rPr>
        <w:rFonts w:ascii="Times New Roman" w:hAnsi="Times New Roman" w:hint="default"/>
      </w:rPr>
    </w:lvl>
    <w:lvl w:ilvl="4" w:tplc="B58A206E" w:tentative="1">
      <w:start w:val="1"/>
      <w:numFmt w:val="bullet"/>
      <w:lvlText w:val="•"/>
      <w:lvlJc w:val="left"/>
      <w:pPr>
        <w:tabs>
          <w:tab w:val="num" w:pos="3600"/>
        </w:tabs>
        <w:ind w:left="3600" w:hanging="360"/>
      </w:pPr>
      <w:rPr>
        <w:rFonts w:ascii="Times New Roman" w:hAnsi="Times New Roman" w:hint="default"/>
      </w:rPr>
    </w:lvl>
    <w:lvl w:ilvl="5" w:tplc="7A06BA82" w:tentative="1">
      <w:start w:val="1"/>
      <w:numFmt w:val="bullet"/>
      <w:lvlText w:val="•"/>
      <w:lvlJc w:val="left"/>
      <w:pPr>
        <w:tabs>
          <w:tab w:val="num" w:pos="4320"/>
        </w:tabs>
        <w:ind w:left="4320" w:hanging="360"/>
      </w:pPr>
      <w:rPr>
        <w:rFonts w:ascii="Times New Roman" w:hAnsi="Times New Roman" w:hint="default"/>
      </w:rPr>
    </w:lvl>
    <w:lvl w:ilvl="6" w:tplc="BAC4A516" w:tentative="1">
      <w:start w:val="1"/>
      <w:numFmt w:val="bullet"/>
      <w:lvlText w:val="•"/>
      <w:lvlJc w:val="left"/>
      <w:pPr>
        <w:tabs>
          <w:tab w:val="num" w:pos="5040"/>
        </w:tabs>
        <w:ind w:left="5040" w:hanging="360"/>
      </w:pPr>
      <w:rPr>
        <w:rFonts w:ascii="Times New Roman" w:hAnsi="Times New Roman" w:hint="default"/>
      </w:rPr>
    </w:lvl>
    <w:lvl w:ilvl="7" w:tplc="F10CEFB8" w:tentative="1">
      <w:start w:val="1"/>
      <w:numFmt w:val="bullet"/>
      <w:lvlText w:val="•"/>
      <w:lvlJc w:val="left"/>
      <w:pPr>
        <w:tabs>
          <w:tab w:val="num" w:pos="5760"/>
        </w:tabs>
        <w:ind w:left="5760" w:hanging="360"/>
      </w:pPr>
      <w:rPr>
        <w:rFonts w:ascii="Times New Roman" w:hAnsi="Times New Roman" w:hint="default"/>
      </w:rPr>
    </w:lvl>
    <w:lvl w:ilvl="8" w:tplc="14D80AD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20"/>
  <w:characterSpacingControl w:val="doNotCompress"/>
  <w:footnotePr>
    <w:footnote w:id="0"/>
    <w:footnote w:id="1"/>
  </w:footnotePr>
  <w:endnotePr>
    <w:endnote w:id="0"/>
    <w:endnote w:id="1"/>
  </w:endnotePr>
  <w:compat/>
  <w:rsids>
    <w:rsidRoot w:val="007A74AB"/>
    <w:rsid w:val="0028377D"/>
    <w:rsid w:val="0045006B"/>
    <w:rsid w:val="0073272F"/>
    <w:rsid w:val="007A03E6"/>
    <w:rsid w:val="007A74AB"/>
    <w:rsid w:val="009741B4"/>
    <w:rsid w:val="00D823A5"/>
    <w:rsid w:val="00FC6E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4AB"/>
    <w:pPr>
      <w:spacing w:after="0"/>
      <w:jc w:val="both"/>
    </w:pPr>
    <w:rPr>
      <w:rFonts w:ascii="Times New Roman" w:eastAsia="Calibri" w:hAnsi="Times New Roman" w:cs="Times New Roman"/>
      <w:sz w:val="24"/>
    </w:rPr>
  </w:style>
  <w:style w:type="paragraph" w:styleId="Heading2">
    <w:name w:val="heading 2"/>
    <w:basedOn w:val="Normal"/>
    <w:next w:val="Normal"/>
    <w:link w:val="Heading2Char"/>
    <w:uiPriority w:val="9"/>
    <w:unhideWhenUsed/>
    <w:qFormat/>
    <w:rsid w:val="007A74AB"/>
    <w:pPr>
      <w:keepNext/>
      <w:spacing w:before="240" w:after="60"/>
      <w:outlineLvl w:val="1"/>
    </w:pPr>
    <w:rPr>
      <w:rFonts w:ascii="Cambria" w:eastAsia="Times New Roman" w:hAnsi="Cambria"/>
      <w:bCs/>
      <w:i/>
      <w:iCs/>
      <w:color w:val="2E74B5"/>
      <w:sz w:val="28"/>
      <w:szCs w:val="28"/>
    </w:rPr>
  </w:style>
  <w:style w:type="paragraph" w:styleId="Heading3">
    <w:name w:val="heading 3"/>
    <w:basedOn w:val="Normal"/>
    <w:next w:val="Normal"/>
    <w:link w:val="Heading3Char"/>
    <w:autoRedefine/>
    <w:uiPriority w:val="9"/>
    <w:unhideWhenUsed/>
    <w:qFormat/>
    <w:rsid w:val="007A74AB"/>
    <w:pPr>
      <w:keepNext/>
      <w:spacing w:before="240" w:after="120"/>
      <w:outlineLvl w:val="2"/>
    </w:pPr>
    <w:rPr>
      <w:rFonts w:ascii="Cambria" w:eastAsia="Times New Roman" w:hAnsi="Cambria"/>
      <w:b/>
      <w:bCs/>
      <w:color w:val="0070C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74AB"/>
    <w:rPr>
      <w:rFonts w:ascii="Cambria" w:eastAsia="Times New Roman" w:hAnsi="Cambria" w:cs="Times New Roman"/>
      <w:bCs/>
      <w:i/>
      <w:iCs/>
      <w:color w:val="2E74B5"/>
      <w:sz w:val="28"/>
      <w:szCs w:val="28"/>
    </w:rPr>
  </w:style>
  <w:style w:type="character" w:customStyle="1" w:styleId="Heading3Char">
    <w:name w:val="Heading 3 Char"/>
    <w:basedOn w:val="DefaultParagraphFont"/>
    <w:link w:val="Heading3"/>
    <w:uiPriority w:val="9"/>
    <w:rsid w:val="007A74AB"/>
    <w:rPr>
      <w:rFonts w:ascii="Cambria" w:eastAsia="Times New Roman" w:hAnsi="Cambria" w:cs="Times New Roman"/>
      <w:b/>
      <w:bCs/>
      <w:color w:val="0070C0"/>
      <w:sz w:val="24"/>
      <w:szCs w:val="24"/>
    </w:rPr>
  </w:style>
  <w:style w:type="paragraph" w:styleId="FootnoteText">
    <w:name w:val="footnote text"/>
    <w:basedOn w:val="Normal"/>
    <w:link w:val="FootnoteTextChar"/>
    <w:uiPriority w:val="99"/>
    <w:unhideWhenUsed/>
    <w:rsid w:val="007A74AB"/>
    <w:pPr>
      <w:spacing w:line="240" w:lineRule="auto"/>
    </w:pPr>
    <w:rPr>
      <w:sz w:val="20"/>
      <w:szCs w:val="20"/>
    </w:rPr>
  </w:style>
  <w:style w:type="character" w:customStyle="1" w:styleId="FootnoteTextChar">
    <w:name w:val="Footnote Text Char"/>
    <w:basedOn w:val="DefaultParagraphFont"/>
    <w:link w:val="FootnoteText"/>
    <w:uiPriority w:val="99"/>
    <w:rsid w:val="007A74AB"/>
    <w:rPr>
      <w:rFonts w:ascii="Times New Roman" w:eastAsia="Calibri" w:hAnsi="Times New Roman" w:cs="Times New Roman"/>
      <w:sz w:val="20"/>
      <w:szCs w:val="20"/>
    </w:rPr>
  </w:style>
  <w:style w:type="character" w:styleId="FootnoteReference">
    <w:name w:val="footnote reference"/>
    <w:uiPriority w:val="99"/>
    <w:semiHidden/>
    <w:unhideWhenUsed/>
    <w:rsid w:val="007A74AB"/>
    <w:rPr>
      <w:vertAlign w:val="superscript"/>
    </w:rPr>
  </w:style>
  <w:style w:type="paragraph" w:styleId="BalloonText">
    <w:name w:val="Balloon Text"/>
    <w:basedOn w:val="Normal"/>
    <w:link w:val="BalloonTextChar"/>
    <w:uiPriority w:val="99"/>
    <w:semiHidden/>
    <w:unhideWhenUsed/>
    <w:rsid w:val="007A74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4A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2908</Words>
  <Characters>16579</Characters>
  <Application>Microsoft Office Word</Application>
  <DocSecurity>0</DocSecurity>
  <Lines>138</Lines>
  <Paragraphs>38</Paragraphs>
  <ScaleCrop>false</ScaleCrop>
  <Company/>
  <LinksUpToDate>false</LinksUpToDate>
  <CharactersWithSpaces>19449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2019-11-18T10:36:00Z</dcterms:created>
  <dcterms:modified xsi:type="dcterms:W3CDTF">2019-11-18T10:36:00Z</dcterms:modified>
</cp:coreProperties>
</file>